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F4481E" w14:textId="31BF67D1">
      <w:pPr>
        <w:spacing w:before="240" w:after="240"/>
        <w:jc w:val="center"/>
        <w:rPr>
          <w:b/>
          <w:bCs/>
          <w:sz w:val="28"/>
          <w:szCs w:val="28"/>
        </w:rPr>
        <w:pStyle w:val="P68B1DB1-Normal1"/>
      </w:pPr>
      <w:permStart w:id="1297760772" w:edGrp="everyone"/>
      <w:permEnd w:id="1297760772"/>
      <w:r>
        <w:rPr>
          <w:szCs w:val="28"/>
        </w:rPr>
        <w:t xml:space="preserve">Déclaration sur l’honneur relative</w:t>
      </w:r>
      <w:r>
        <w:rPr>
          <w:szCs w:val="32"/>
        </w:rPr>
      </w:r>
      <w:r>
        <w:rPr>
          <w:szCs w:val="32"/>
        </w:rPr>
        <w:br/>
      </w:r>
      <w:r>
        <w:rPr>
          <w:szCs w:val="28"/>
        </w:rPr>
        <w:t xml:space="preserve">aux critères d’exclusion et de sélection</w:t>
      </w:r>
      <w:r>
        <w:rPr>
          <w:szCs w:val="32"/>
        </w:rPr>
        <w:t xml:space="preserve"> </w:t>
      </w:r>
    </w:p>
    <w:p w14:paraId="1A26E185" w14:textId="206E0B8A">
      <w:pPr>
        <w:spacing w:before="100" w:beforeAutospacing="1" w:after="100" w:afterAutospacing="1"/>
        <w:jc w:val="both"/>
        <w:rPr>
          <w:b/>
          <w:bCs/>
        </w:rPr>
        <w:pStyle w:val="P68B1DB1-Normal2"/>
      </w:pPr>
      <w:r>
        <w:t xml:space="preserve">Numéro de référence de la procédure:</w:t>
      </w:r>
    </w:p>
    <w:p w14:paraId="60A66E87" w14:textId="242ECE30">
      <w:pPr>
        <w:spacing w:before="100" w:beforeAutospacing="1" w:after="100" w:afterAutospacing="1"/>
        <w:jc w:val="both"/>
        <w:rPr>
          <w:b/>
          <w:bCs/>
        </w:rPr>
        <w:pStyle w:val="P68B1DB1-Normal2"/>
      </w:pPr>
      <w:r>
        <w:t xml:space="preserve">Intitulé de la procédure:</w:t>
      </w:r>
    </w:p>
    <w:p w14:paraId="03B168D8" w14:textId="3C04CAF4">
      <w:pPr>
        <w:spacing w:beforeAutospacing="1" w:afterAutospacing="1"/>
        <w:jc w:val="both"/>
        <w:rPr>
          <w:i/>
          <w:iCs/>
          <w:highlight w:val="lightGray"/>
        </w:rPr>
        <w:pStyle w:val="P68B1DB1-Normal3"/>
      </w:pPr>
      <w:r>
        <w:t xml:space="preserve">[Option 1 pour les personnes morales]</w:t>
      </w:r>
    </w:p>
    <w:p w14:paraId="11F056D1" w14:textId="45B7275C">
      <w:pPr>
        <w:jc w:val="both"/>
      </w:pPr>
      <w:r>
        <w:t xml:space="preserve">La personne soussignée</w:t>
      </w:r>
      <w:r>
        <w:rPr>
          <w:i/>
          <w:highlight w:val="lightGray"/>
        </w:rPr>
        <w:t xml:space="preserve"> [nom et prénom du ou de la signataire du présent formulaire</w:t>
      </w:r>
      <w:r>
        <w:t xml:space="preserve">], représentant la personne morale suivante:</w:t>
      </w:r>
    </w:p>
    <w:p w14:paraId="629278CB" w14:textId="77777777"/>
    <w:p w14:paraId="556E93A3" w14:textId="7FA43BB3">
      <w:pPr>
        <w:rPr>
          <w:b/>
          <w:bCs/>
        </w:rPr>
      </w:pPr>
      <w:r>
        <w:t xml:space="preserve">Nom officiel complet:</w:t>
      </w:r>
    </w:p>
    <w:p w14:paraId="60A1F64A" w14:textId="32A8BCF0">
      <w:r>
        <w:t xml:space="preserve">Forme juridique officielle</w:t>
      </w:r>
    </w:p>
    <w:p w14:paraId="775FC49B" w14:textId="77777777">
      <w:pPr>
        <w:rPr>
          <w:b/>
          <w:bCs/>
        </w:rPr>
      </w:pPr>
      <w:r>
        <w:t xml:space="preserve">Numéro d’enregistrement légal</w:t>
      </w:r>
      <w:r>
        <w:rPr>
          <w:b/>
        </w:rPr>
        <w:t xml:space="preserve">: </w:t>
      </w:r>
    </w:p>
    <w:p w14:paraId="3AE2909A" w14:textId="77777777">
      <w:pPr>
        <w:rPr>
          <w:b/>
          <w:bCs/>
        </w:rPr>
      </w:pPr>
      <w:r>
        <w:t xml:space="preserve">Adresse officielle complète: </w:t>
      </w:r>
    </w:p>
    <w:p w14:paraId="69884DE8" w14:textId="77777777">
      <w:r>
        <w:t xml:space="preserve">No d’immatriculation à la TVA: </w:t>
      </w:r>
    </w:p>
    <w:p w14:paraId="09788ACB" w14:textId="1E881CAA">
      <w:pPr>
        <w:jc w:val="both"/>
      </w:pPr>
    </w:p>
    <w:p w14:paraId="028EC11F" w14:textId="0E5C4E64">
      <w:pPr>
        <w:jc w:val="both"/>
        <w:rPr>
          <w:b/>
          <w:bCs/>
        </w:rPr>
      </w:pPr>
      <w:r>
        <w:t xml:space="preserve">Ci-après dénommée</w:t>
      </w:r>
      <w:r>
        <w:rPr>
          <w:b/>
        </w:rPr>
        <w:t xml:space="preserve"> «la personne»</w:t>
      </w:r>
    </w:p>
    <w:p w14:paraId="5C0838DC" w14:textId="77777777">
      <w:pPr>
        <w:jc w:val="both"/>
      </w:pPr>
    </w:p>
    <w:p w14:paraId="060675A2" w14:textId="7D09EDF1">
      <w:pPr>
        <w:spacing w:beforeAutospacing="1" w:afterAutospacing="1"/>
        <w:jc w:val="both"/>
        <w:rPr>
          <w:i/>
          <w:iCs/>
          <w:highlight w:val="lightGray"/>
        </w:rPr>
        <w:pStyle w:val="P68B1DB1-Normal3"/>
      </w:pPr>
      <w:r>
        <w:t xml:space="preserve">[Option 2 pour les personnes physiques]</w:t>
      </w:r>
    </w:p>
    <w:p w14:paraId="63C4093D" w14:textId="66FB4351">
      <w:pPr>
        <w:jc w:val="both"/>
      </w:pPr>
      <w:r>
        <w:t xml:space="preserve">La personne soussignée [</w:t>
      </w:r>
      <w:r>
        <w:rPr>
          <w:i/>
          <w:highlight w:val="lightGray"/>
        </w:rPr>
        <w:t xml:space="preserve">nom et prénom du ou de la signataire du présent formulaire</w:t>
      </w:r>
      <w:r>
        <w:t xml:space="preserve">], avec numéro de carte d’identité ou de passeport [</w:t>
      </w:r>
      <w:r>
        <w:rPr>
          <w:i/>
          <w:highlight w:val="lightGray"/>
        </w:rPr>
        <w:t xml:space="preserve">insérer le numéro</w:t>
      </w:r>
      <w:r>
        <w:t xml:space="preserve">], qui se représente elle-même:</w:t>
      </w:r>
    </w:p>
    <w:p w14:paraId="2AA7D8F1" w14:textId="77777777">
      <w:pPr>
        <w:jc w:val="both"/>
      </w:pPr>
    </w:p>
    <w:p w14:paraId="5C2865AF" w14:textId="77777777">
      <w:pPr>
        <w:jc w:val="both"/>
        <w:rPr>
          <w:b/>
          <w:bCs/>
        </w:rPr>
      </w:pPr>
      <w:r>
        <w:t xml:space="preserve">Ci-après dénommée</w:t>
      </w:r>
      <w:r>
        <w:rPr>
          <w:b/>
        </w:rPr>
        <w:t xml:space="preserve"> «la personne»</w:t>
      </w:r>
    </w:p>
    <w:p w14:paraId="0F26C447" w14:textId="7FACD57D"/>
    <w:p w14:paraId="4B6059BA" w14:textId="77777777">
      <w:pPr>
        <w:pStyle w:val="Title"/>
        <w:numPr>
          <w:ilvl w:val="0"/>
          <w:numId w:val="30"/>
        </w:numPr>
      </w:pPr>
      <w:r>
        <w:t xml:space="preserve">Déclaration sur l’honneur relative aux critères d’exclusion</w:t>
      </w:r>
    </w:p>
    <w:p w14:paraId="67F47E4E" w14:textId="637AF68D">
      <w:pPr>
        <w:spacing w:before="100" w:beforeAutospacing="1" w:after="100" w:afterAutospacing="1"/>
        <w:jc w:val="both"/>
      </w:pPr>
      <w:r>
        <w:t xml:space="preserve">La personne n’est pas tenue de remplir cette partie A de la déclaration (</w:t>
        <w:tab/>
        <w:t xml:space="preserve">Déclaration sur l’honneur relative aux critères d’exclusion) lorsque celle-ci a déjà été présentée aux fins d’une autre procédure d’attribution du même pouvoir adjudicateur</w:t>
      </w:r>
      <w:r>
        <w:rPr>
          <w:rStyle w:val="FootnoteReference"/>
        </w:rPr>
        <w:footnoteReference w:id="2"/>
      </w:r>
      <w:r>
        <w:t xml:space="preserve">, pour autant que la situation n’ait pas changé et que la période de temps écoulée depuis la date de la déclaration ne dépasse pas un an.</w:t>
      </w:r>
    </w:p>
    <w:p w14:paraId="64B20EEE" w14:textId="78AEE0D7">
      <w:pPr>
        <w:spacing w:before="100" w:beforeAutospacing="1" w:after="100" w:afterAutospacing="1"/>
        <w:jc w:val="both"/>
      </w:pPr>
      <w:r>
        <w:t xml:space="preserve">En pareil cas, le signataire déclare que la personne a déjà fourni la même déclaration relative aux critères d’exclusion aux fins d’une précédente procédure et confirme qu’aucun changement n’est intervenu dans sa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662"/>
      </w:tblGrid>
      <w:tr w14:paraId="278E041C" w14:textId="77777777">
        <w:tc>
          <w:tcPr>
            <w:tcW w:w="2802" w:type="dxa"/>
          </w:tcPr>
          <w:p w14:paraId="1DF3B1C1" w14:textId="7088E3EE">
            <w:pPr>
              <w:spacing w:before="100" w:beforeAutospacing="1" w:after="100" w:afterAutospacing="1"/>
              <w:jc w:val="center"/>
              <w:rPr>
                <w:b/>
                <w:bCs/>
                <w:sz w:val="22"/>
                <w:szCs w:val="22"/>
              </w:rPr>
              <w:pStyle w:val="P68B1DB1-Normal4"/>
            </w:pPr>
            <w:r>
              <w:t xml:space="preserve">Date de la déclaration</w:t>
            </w:r>
          </w:p>
        </w:tc>
        <w:tc>
          <w:tcPr>
            <w:tcW w:w="6662" w:type="dxa"/>
          </w:tcPr>
          <w:p w14:paraId="28F7052B" w14:textId="77777777">
            <w:pPr>
              <w:spacing w:before="100" w:beforeAutospacing="1" w:after="100" w:afterAutospacing="1"/>
              <w:jc w:val="center"/>
              <w:rPr>
                <w:b/>
                <w:bCs/>
                <w:sz w:val="22"/>
                <w:szCs w:val="22"/>
              </w:rPr>
              <w:pStyle w:val="P68B1DB1-Normal4"/>
            </w:pPr>
            <w:r>
              <w:t xml:space="preserve">Référence complète de la précédente procédure</w:t>
            </w:r>
          </w:p>
        </w:tc>
      </w:tr>
      <w:tr w14:paraId="6F902801" w14:textId="77777777">
        <w:tc>
          <w:tcPr>
            <w:tcW w:w="2802" w:type="dxa"/>
          </w:tcPr>
          <w:p w14:paraId="0E407693" w14:textId="6C82C9E9">
            <w:pPr>
              <w:spacing w:before="100" w:beforeAutospacing="1" w:after="100" w:afterAutospacing="1"/>
            </w:pPr>
          </w:p>
        </w:tc>
        <w:tc>
          <w:tcPr>
            <w:tcW w:w="6662" w:type="dxa"/>
          </w:tcPr>
          <w:p w14:paraId="5A11950E" w14:textId="77777777">
            <w:pPr>
              <w:spacing w:before="100" w:beforeAutospacing="1" w:after="100" w:afterAutospacing="1"/>
            </w:pPr>
          </w:p>
        </w:tc>
      </w:tr>
    </w:tbl>
    <w:p w14:paraId="43FF3A56" w14:textId="77777777">
      <w:pPr>
        <w:pStyle w:val="Title"/>
      </w:pPr>
    </w:p>
    <w:p w14:paraId="16F4482F" w14:textId="3F7D4650">
      <w:pPr>
        <w:pStyle w:val="Title"/>
      </w:pPr>
      <w:r>
        <w:t xml:space="preserve">I — Situations d’exclusion concernant la personne</w:t>
      </w:r>
    </w:p>
    <w:p w14:paraId="368816DB" w14:textId="1E6A9513">
      <w:pPr>
        <w:spacing w:before="120" w:after="120"/>
        <w:ind w:firstLine="1"/>
        <w:jc w:val="both"/>
        <w:rPr>
          <w:b/>
          <w:bCs/>
          <w:i/>
          <w:iCs/>
        </w:rPr>
      </w:pPr>
      <w:r>
        <w:rPr>
          <w:b/>
          <w:i/>
        </w:rPr>
        <w:t xml:space="preserve">(à remplir par toutes les entités associées</w:t>
      </w:r>
      <w:r>
        <w:rPr>
          <w:rStyle w:val="FootnoteReference"/>
        </w:rPr>
        <w:footnoteReference w:id="3"/>
      </w:r>
      <w:r>
        <w:rPr>
          <w:b/>
          <w:i/>
        </w:rPr>
        <w:t>)</w:t>
      </w:r>
    </w:p>
    <w:p w14:paraId="5492AA92" w14:textId="77777777"/>
    <w:tbl>
      <w:tblPr>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38"/>
        <w:gridCol w:w="930"/>
        <w:gridCol w:w="825"/>
      </w:tblGrid>
      <w:tr w14:paraId="16F44833" w14:textId="77777777">
        <w:tc>
          <w:tcPr>
            <w:tcW w:w="8238" w:type="dxa"/>
          </w:tcPr>
          <w:p w14:paraId="16F44830" w14:textId="48F69251">
            <w:pPr>
              <w:numPr>
                <w:ilvl w:val="0"/>
                <w:numId w:val="17"/>
              </w:numPr>
              <w:spacing w:before="40" w:after="40"/>
              <w:jc w:val="both"/>
            </w:pPr>
            <w:r>
              <w:t xml:space="preserve"> déclare que la personne se trouve dans l’une des situations suivantes:</w:t>
            </w:r>
          </w:p>
        </w:tc>
        <w:tc>
          <w:tcPr>
            <w:tcW w:w="930" w:type="dxa"/>
          </w:tcPr>
          <w:p w14:paraId="16F44831" w14:textId="77777777">
            <w:pPr>
              <w:spacing w:before="40" w:after="40"/>
              <w:ind w:left="142"/>
              <w:jc w:val="center"/>
            </w:pPr>
            <w:r>
              <w:t>OUI</w:t>
            </w:r>
          </w:p>
        </w:tc>
        <w:tc>
          <w:tcPr>
            <w:tcW w:w="825" w:type="dxa"/>
          </w:tcPr>
          <w:p w14:paraId="16F44832" w14:textId="77777777">
            <w:pPr>
              <w:spacing w:before="40" w:after="40"/>
              <w:ind w:left="142"/>
              <w:jc w:val="center"/>
            </w:pPr>
            <w:r>
              <w:t>NON</w:t>
            </w:r>
          </w:p>
        </w:tc>
      </w:tr>
      <w:tr w14:paraId="16F44837" w14:textId="77777777">
        <w:tc>
          <w:tcPr>
            <w:tcW w:w="8238" w:type="dxa"/>
          </w:tcPr>
          <w:p w14:paraId="16F44834" w14:textId="1E04FC01">
            <w:pPr>
              <w:pStyle w:val="Text1"/>
              <w:numPr>
                <w:ilvl w:val="0"/>
                <w:numId w:val="15"/>
              </w:numPr>
              <w:spacing w:before="40" w:after="40"/>
            </w:pPr>
            <w:r>
              <w:t xml:space="preserve">elle est en état de faillite ou fait l’objet d’une procédure d’insolvabilité ou de liquidation, ses biens sont administrés par un liquidateur ou sont placés sous administration judiciaire, elle a conclu un concordat préventif, elle se trouve en état de cessation d’activités, ou dans toute situation analogue résultant d’une procédure de même nature prévue par le droit de l’Union ou le droit national;</w:t>
            </w:r>
          </w:p>
        </w:tc>
        <w:tc>
          <w:tcPr>
            <w:tcW w:w="930" w:type="dxa"/>
          </w:tcPr>
          <w:p w14:paraId="16F44835" w14:textId="77777777">
            <w:pPr>
              <w:spacing w:before="240" w:after="120"/>
              <w:jc w:val="center"/>
            </w:pPr>
            <w:r>
              <w:fldChar w:fldCharType="begin">
                <w:ffData>
                  <w:name w:val=""/>
                  <w:enabled/>
                  <w:calcOnExit w:val="0"/>
                  <w:checkBox>
                    <w:sizeAuto/>
                    <w:default w:val="0"/>
                  </w:checkBox>
                </w:ffData>
              </w:fldChar>
            </w:r>
            <w:r>
              <w:rPr/>
              <w:instrText xml:space="preserve"> FORMCHECKBOX </w:instrText>
            </w:r>
            <w:r>
              <w:rPr/>
            </w:r>
            <w:r>
              <w:rPr/>
              <w:fldChar w:fldCharType="separate"/>
            </w:r>
            <w:r>
              <w:rPr/>
              <w:fldChar w:fldCharType="end"/>
            </w:r>
          </w:p>
        </w:tc>
        <w:tc>
          <w:tcPr>
            <w:tcW w:w="825" w:type="dxa"/>
          </w:tcPr>
          <w:p w14:paraId="16F44836"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16F4483B" w14:textId="77777777">
        <w:tc>
          <w:tcPr>
            <w:tcW w:w="8238" w:type="dxa"/>
          </w:tcPr>
          <w:p w14:paraId="16F44838" w14:textId="13DA1DDB">
            <w:pPr>
              <w:pStyle w:val="Text1"/>
              <w:numPr>
                <w:ilvl w:val="0"/>
                <w:numId w:val="15"/>
              </w:numPr>
              <w:spacing w:before="40" w:after="40"/>
            </w:pPr>
            <w:r>
              <w:t xml:space="preserve">il a été établi par un jugement définitif ou une décision administrative définitive qu’elle n’a pas respecté ses obligations relatives au paiement des impôts ou des cotisations de sécurité sociale conformément au droit applicable;</w:t>
            </w:r>
          </w:p>
        </w:tc>
        <w:tc>
          <w:tcPr>
            <w:tcW w:w="930" w:type="dxa"/>
          </w:tcPr>
          <w:p w14:paraId="16F44839" w14:textId="77777777">
            <w:pPr>
              <w:spacing w:before="240" w:after="120"/>
              <w:jc w:val="center"/>
            </w:pPr>
            <w:r>
              <w:fldChar w:fldCharType="begin">
                <w:ffData>
                  <w:name w:val="Check1"/>
                  <w:enabled/>
                  <w:calcOnExit w:val="0"/>
                  <w:checkBox>
                    <w:sizeAuto/>
                    <w:default w:val="0"/>
                  </w:checkBox>
                </w:ffData>
              </w:fldChar>
            </w:r>
            <w:bookmarkStart w:id="0" w:name="Check1"/>
            <w:r>
              <w:rPr/>
              <w:instrText xml:space="preserve"> FORMCHECKBOX </w:instrText>
            </w:r>
            <w:r>
              <w:rPr/>
            </w:r>
            <w:r>
              <w:rPr/>
              <w:fldChar w:fldCharType="separate"/>
            </w:r>
            <w:r>
              <w:rPr/>
              <w:fldChar w:fldCharType="end"/>
            </w:r>
            <w:bookmarkEnd w:id="0"/>
          </w:p>
        </w:tc>
        <w:tc>
          <w:tcPr>
            <w:tcW w:w="825" w:type="dxa"/>
          </w:tcPr>
          <w:p w14:paraId="16F4483A"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16F4483E" w14:textId="753DB5AA">
        <w:tc>
          <w:tcPr>
            <w:tcW w:w="8238" w:type="dxa"/>
          </w:tcPr>
          <w:p w14:paraId="16F4483C" w14:textId="292CC49A">
            <w:pPr>
              <w:pStyle w:val="Text1"/>
              <w:numPr>
                <w:ilvl w:val="0"/>
                <w:numId w:val="15"/>
              </w:numPr>
              <w:spacing w:before="40" w:after="40"/>
            </w:pPr>
            <w:r>
              <w:t xml:space="preserve">il a été établi par un jugement définitif ou une décision administrative définitive que la personne a commis une faute professionnelle grave en ayant violé des dispositions législatives ou réglementaires applicables ou des normes de déontologie de la profession à laquelle elle appartient, ou en ayant adopté une conduite fautive qui a une incidence sur sa crédibilité professionnelle, dès lors que cette conduite dénote une intention fautive ou une négligence grave, y compris en particulier l’une des conduites suivantes:</w:t>
            </w:r>
          </w:p>
        </w:tc>
        <w:tc>
          <w:tcPr>
            <w:tcW w:w="1755" w:type="dxa"/>
            <w:gridSpan w:val="2"/>
          </w:tcPr>
          <w:p w14:paraId="16F4483D" w14:textId="078ADC9A">
            <w:pPr>
              <w:spacing w:before="240" w:after="120"/>
              <w:jc w:val="center"/>
            </w:pPr>
          </w:p>
        </w:tc>
      </w:tr>
      <w:tr w14:paraId="16F44842" w14:textId="77777777">
        <w:tc>
          <w:tcPr>
            <w:tcW w:w="8238" w:type="dxa"/>
          </w:tcPr>
          <w:p w14:paraId="16F4483F" w14:textId="72D0C9B1">
            <w:pPr>
              <w:pStyle w:val="P68B1DB1-Text15"/>
              <w:spacing w:before="40" w:after="40"/>
              <w:ind w:left="709"/>
            </w:pPr>
            <w:bookmarkStart w:id="1" w:name="_DV_C368"/>
            <w:r>
              <w:t xml:space="preserve">I) présentation frauduleuse ou par négligence de fausse déclaration en fournissant les renseignements exigés pour la vérification de l’absence de motifs d’exclusion ou le respect des critères d’éligibilité ou de sélection ou dans l’exécution de l’engagement juridique;</w:t>
            </w:r>
            <w:bookmarkEnd w:id="1"/>
          </w:p>
        </w:tc>
        <w:tc>
          <w:tcPr>
            <w:tcW w:w="930" w:type="dxa"/>
          </w:tcPr>
          <w:p w14:paraId="16F44840"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825" w:type="dxa"/>
          </w:tcPr>
          <w:p w14:paraId="16F44841"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16F44846" w14:textId="77777777">
        <w:tc>
          <w:tcPr>
            <w:tcW w:w="8238" w:type="dxa"/>
          </w:tcPr>
          <w:p w14:paraId="16F44843" w14:textId="6A17FE50">
            <w:pPr>
              <w:pStyle w:val="P68B1DB1-Text15"/>
              <w:spacing w:before="40" w:after="40"/>
              <w:ind w:left="709"/>
            </w:pPr>
            <w:bookmarkStart w:id="2" w:name="_DV_C369"/>
            <w:r>
              <w:t xml:space="preserve">II) conclure un accord avec d’autres personnes ou entités en vue de fausser la concurrence;</w:t>
            </w:r>
            <w:bookmarkEnd w:id="2"/>
          </w:p>
        </w:tc>
        <w:tc>
          <w:tcPr>
            <w:tcW w:w="930" w:type="dxa"/>
          </w:tcPr>
          <w:p w14:paraId="16F44844"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825" w:type="dxa"/>
          </w:tcPr>
          <w:p w14:paraId="16F44845"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16F4484A" w14:textId="77777777">
        <w:tc>
          <w:tcPr>
            <w:tcW w:w="8238" w:type="dxa"/>
          </w:tcPr>
          <w:p w14:paraId="16F44847" w14:textId="417E7521">
            <w:pPr>
              <w:pStyle w:val="P68B1DB1-Text15"/>
              <w:spacing w:before="40" w:after="40"/>
              <w:ind w:left="709"/>
            </w:pPr>
            <w:bookmarkStart w:id="3" w:name="_DV_C371"/>
            <w:r>
              <w:t xml:space="preserve">III) violation des droits de propriété intellectuelle;</w:t>
            </w:r>
            <w:bookmarkEnd w:id="3"/>
          </w:p>
        </w:tc>
        <w:tc>
          <w:tcPr>
            <w:tcW w:w="930" w:type="dxa"/>
          </w:tcPr>
          <w:p w14:paraId="16F44848"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825" w:type="dxa"/>
          </w:tcPr>
          <w:p w14:paraId="16F44849"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16F4484E" w14:textId="77777777">
        <w:tc>
          <w:tcPr>
            <w:tcW w:w="8238" w:type="dxa"/>
          </w:tcPr>
          <w:p w14:paraId="16F4484B" w14:textId="0812F435">
            <w:pPr>
              <w:pStyle w:val="Text1"/>
              <w:spacing w:before="40" w:after="40"/>
              <w:ind w:left="709"/>
            </w:pPr>
            <w:bookmarkStart w:id="4" w:name="_DV_C372"/>
            <w:r>
              <w:rPr>
                <w:color w:val="000000" w:themeColor="text1"/>
              </w:rPr>
              <w:t xml:space="preserve">IV) influencer indûment ou tenter d’influencer indûment le processus décisionnel en vue d’obtenir des fonds de l’Union </w:t>
            </w:r>
            <w:r>
              <w:t xml:space="preserve">en tirant parti, au moyen de fausses déclarations, d’un conflit d’intérêts impliquant un acteur financier ou une autre personne visé à l’article 61, paragraphe 1,</w:t>
            </w:r>
            <w:r>
              <w:rPr>
                <w:color w:val="000000" w:themeColor="text1"/>
              </w:rPr>
              <w:t xml:space="preserve"> du</w:t>
            </w:r>
            <w:r>
              <w:t xml:space="preserve"> RF;</w:t>
            </w:r>
            <w:bookmarkEnd w:id="4"/>
          </w:p>
        </w:tc>
        <w:tc>
          <w:tcPr>
            <w:tcW w:w="930" w:type="dxa"/>
          </w:tcPr>
          <w:p w14:paraId="16F4484C"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825" w:type="dxa"/>
          </w:tcPr>
          <w:p w14:paraId="16F4484D"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16F44852" w14:textId="77777777">
        <w:tc>
          <w:tcPr>
            <w:tcW w:w="8238" w:type="dxa"/>
          </w:tcPr>
          <w:p w14:paraId="16F4484F" w14:textId="6C621141">
            <w:pPr>
              <w:pStyle w:val="P68B1DB1-Text15"/>
              <w:spacing w:before="40" w:after="40"/>
              <w:ind w:left="709"/>
              <w:rPr>
                <w:color w:val="000000"/>
              </w:rPr>
            </w:pPr>
            <w:bookmarkStart w:id="5" w:name="_DV_C373"/>
            <w:r>
              <w:t xml:space="preserve">V) tentative d’obtenir des informations confidentielles susceptibles de lui conférer des avantages indus dans le cadre de la procédure d’attribution</w:t>
            </w:r>
            <w:bookmarkEnd w:id="5"/>
            <w:r>
              <w:rPr>
                <w:b/>
                <w:i/>
              </w:rPr>
              <w:t xml:space="preserve">; </w:t>
            </w:r>
          </w:p>
        </w:tc>
        <w:tc>
          <w:tcPr>
            <w:tcW w:w="930" w:type="dxa"/>
          </w:tcPr>
          <w:p w14:paraId="16F44850"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825" w:type="dxa"/>
          </w:tcPr>
          <w:p w14:paraId="16F44851"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676CE465" w14:textId="77777777">
        <w:tc>
          <w:tcPr>
            <w:tcW w:w="8238" w:type="dxa"/>
          </w:tcPr>
          <w:p w14:paraId="1256DE81" w14:textId="3556FE5A">
            <w:pPr>
              <w:pStyle w:val="P68B1DB1-Text15"/>
              <w:spacing w:before="40" w:after="40"/>
              <w:ind w:left="709"/>
              <w:rPr>
                <w:color w:val="000000"/>
              </w:rPr>
            </w:pPr>
            <w:r>
              <w:t xml:space="preserve">VI) incitation à la discrimination, à la haine ou à la violence à l’encontre d’un groupe de personnes ou d’un membre d’un groupe, ou activités similaires contraires aux valeurs sur lesquelles l’Union est fondée, consacrées à l’article 2 du traité sur l’Union européenne, lorsque cette faute a une incidence sur l’intégrité de la personne qui porte atteinte ou risque concrètement de porter atteinte à l’exécution d’un contrat ou d’un accord;</w:t>
            </w:r>
          </w:p>
        </w:tc>
        <w:tc>
          <w:tcPr>
            <w:tcW w:w="930" w:type="dxa"/>
          </w:tcPr>
          <w:p w14:paraId="29A2A49A" w14:textId="4FEC417F">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825" w:type="dxa"/>
          </w:tcPr>
          <w:p w14:paraId="5F916217" w14:textId="5386CE39">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16F44855" w14:textId="77777777">
        <w:tc>
          <w:tcPr>
            <w:tcW w:w="8238" w:type="dxa"/>
          </w:tcPr>
          <w:p w14:paraId="16F44853" w14:textId="372A90F4">
            <w:pPr>
              <w:pStyle w:val="Text1"/>
              <w:numPr>
                <w:ilvl w:val="0"/>
                <w:numId w:val="15"/>
              </w:numPr>
              <w:spacing w:before="40" w:after="40"/>
              <w:ind w:left="357" w:hanging="357"/>
              <w:rPr>
                <w:color w:val="000000"/>
              </w:rPr>
            </w:pPr>
            <w:r>
              <w:t xml:space="preserve">il a été établi par un jugement définitif que la personne est coupable de l’un des faits suivants:</w:t>
            </w:r>
          </w:p>
        </w:tc>
        <w:tc>
          <w:tcPr>
            <w:tcW w:w="1755" w:type="dxa"/>
            <w:gridSpan w:val="2"/>
          </w:tcPr>
          <w:p w14:paraId="16F44854" w14:textId="77777777">
            <w:pPr>
              <w:spacing w:before="240" w:after="120"/>
              <w:jc w:val="center"/>
            </w:pPr>
          </w:p>
        </w:tc>
      </w:tr>
      <w:tr w14:paraId="16F44859" w14:textId="77777777">
        <w:tc>
          <w:tcPr>
            <w:tcW w:w="8238" w:type="dxa"/>
          </w:tcPr>
          <w:p w14:paraId="16F44856" w14:textId="2972CD1F">
            <w:pPr>
              <w:pStyle w:val="P68B1DB1-Text15"/>
              <w:spacing w:before="40" w:after="40"/>
              <w:ind w:left="709"/>
            </w:pPr>
            <w:r>
              <w:t xml:space="preserve">I) la fraude au sens de l’article 3 de la directive (UE) 2017/1371 et de l’article 1 de la convention relative à la protection des intérêts financiers des Communautés européennes, établie par l’acte du Conseil du 26</w:t>
            </w:r>
            <w:bookmarkStart w:id="6" w:name="_DV_C378"/>
            <w:r>
              <w:t xml:space="preserve"> juillet 1995;</w:t>
            </w:r>
            <w:bookmarkEnd w:id="6"/>
          </w:p>
        </w:tc>
        <w:tc>
          <w:tcPr>
            <w:tcW w:w="930" w:type="dxa"/>
          </w:tcPr>
          <w:p w14:paraId="16F44857"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825" w:type="dxa"/>
          </w:tcPr>
          <w:p w14:paraId="16F44858"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16F4485D" w14:textId="77777777">
        <w:tc>
          <w:tcPr>
            <w:tcW w:w="8238" w:type="dxa"/>
          </w:tcPr>
          <w:p w14:paraId="16F4485A" w14:textId="09326505">
            <w:pPr>
              <w:pStyle w:val="P68B1DB1-Text15"/>
              <w:spacing w:before="40" w:after="40"/>
              <w:ind w:left="709"/>
            </w:pPr>
            <w:bookmarkStart w:id="7" w:name="_DV_C379"/>
            <w:r>
              <w:t xml:space="preserve">II) la corruption au sens de l’article 4, paragraphe 2, de la directive (UE) 2017/1371 ou la corruption active au sens de l’article 3 de la convention relative à la lutte contre la corruption impliquant des fonctionnaires des Communautés européennes ou des fonctionnaires</w:t>
            </w:r>
            <w:bookmarkStart w:id="8" w:name="_DV_C381"/>
            <w:bookmarkEnd w:id="7"/>
            <w:r>
              <w:t xml:space="preserve"> des États membres de l’Union européenne, établie par l’acte du Conseil du 26 mai 1997, ou les actes visés à l’article 2, paragraphe 1, de</w:t>
            </w:r>
            <w:bookmarkStart w:id="9" w:name="_DV_C383"/>
            <w:bookmarkEnd w:id="8"/>
            <w:r>
              <w:t xml:space="preserve"> la décision-cadre 2003/568/JHA du Conseil, ou la corruption telle qu’elle est définie dans d’autres droits applicables;</w:t>
            </w:r>
            <w:bookmarkEnd w:id="9"/>
          </w:p>
        </w:tc>
        <w:tc>
          <w:tcPr>
            <w:tcW w:w="930" w:type="dxa"/>
          </w:tcPr>
          <w:p w14:paraId="16F4485B"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825" w:type="dxa"/>
          </w:tcPr>
          <w:p w14:paraId="16F4485C"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16F44861" w14:textId="77777777">
        <w:tc>
          <w:tcPr>
            <w:tcW w:w="8238" w:type="dxa"/>
          </w:tcPr>
          <w:p w14:paraId="16F4485E" w14:textId="016FC926">
            <w:pPr>
              <w:pStyle w:val="P68B1DB1-Text15"/>
              <w:spacing w:before="40" w:after="40"/>
              <w:ind w:left="709"/>
            </w:pPr>
            <w:bookmarkStart w:id="10" w:name="_DV_C384"/>
            <w:r>
              <w:t xml:space="preserve">III) les</w:t>
            </w:r>
            <w:bookmarkStart w:id="11" w:name="_DV_M250"/>
            <w:bookmarkEnd w:id="10"/>
            <w:bookmarkEnd w:id="11"/>
            <w:r>
              <w:t xml:space="preserve"> comportements liés à une organisation criminelle </w:t>
            </w:r>
            <w:bookmarkStart w:id="12" w:name="_DV_C385"/>
            <w:r>
              <w:t xml:space="preserve">visés à l’article 2 de la décision-cadre 2008/841/JHA du</w:t>
            </w:r>
            <w:bookmarkStart w:id="13" w:name="_DV_C387"/>
            <w:bookmarkEnd w:id="12"/>
            <w:r>
              <w:t xml:space="preserve"> Conseil;</w:t>
            </w:r>
            <w:bookmarkEnd w:id="13"/>
          </w:p>
        </w:tc>
        <w:tc>
          <w:tcPr>
            <w:tcW w:w="930" w:type="dxa"/>
          </w:tcPr>
          <w:p w14:paraId="16F4485F"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825" w:type="dxa"/>
          </w:tcPr>
          <w:p w14:paraId="16F44860"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16F44865" w14:textId="77777777">
        <w:tc>
          <w:tcPr>
            <w:tcW w:w="8238" w:type="dxa"/>
          </w:tcPr>
          <w:p w14:paraId="16F44862" w14:textId="2AB68FE3">
            <w:pPr>
              <w:pStyle w:val="Text1"/>
              <w:spacing w:before="40" w:after="40"/>
              <w:ind w:left="709"/>
            </w:pPr>
            <w:r>
              <w:rPr>
                <w:color w:val="000000"/>
              </w:rPr>
              <w:t xml:space="preserve">IV) </w:t>
            </w:r>
            <w:r>
              <w:t>le</w:t>
            </w:r>
            <w:bookmarkStart w:id="14" w:name="_DV_M251"/>
            <w:bookmarkEnd w:id="14"/>
            <w:r>
              <w:t xml:space="preserve"> blanchiment de</w:t>
            </w:r>
            <w:bookmarkStart w:id="16" w:name="_DV_M252"/>
            <w:bookmarkEnd w:id="15"/>
            <w:bookmarkEnd w:id="16"/>
            <w:r>
              <w:t xml:space="preserve"> capitaux</w:t>
            </w:r>
            <w:bookmarkStart w:id="15" w:name="_DV_C391"/>
            <w:r>
              <w:rPr>
                <w:color w:val="000000"/>
              </w:rPr>
              <w:t xml:space="preserve"> ou</w:t>
            </w:r>
            <w:r>
              <w:t xml:space="preserve"> </w:t>
            </w:r>
            <w:bookmarkStart w:id="17" w:name="_DV_C392"/>
            <w:r>
              <w:rPr>
                <w:color w:val="000000"/>
              </w:rPr>
              <w:t xml:space="preserve">le financement du terrorisme au sens de l’article 1, paragraphe 3, (4) et (5), de la directive (UE) 2015/849 du Parlement européen</w:t>
            </w:r>
            <w:bookmarkStart w:id="18" w:name="_DV_C394"/>
            <w:bookmarkEnd w:id="17"/>
            <w:r>
              <w:rPr>
                <w:color w:val="000000"/>
              </w:rPr>
              <w:t xml:space="preserve"> et</w:t>
            </w:r>
            <w:r>
              <w:t xml:space="preserve"> du Conseil;</w:t>
            </w:r>
            <w:bookmarkEnd w:id="18"/>
          </w:p>
        </w:tc>
        <w:tc>
          <w:tcPr>
            <w:tcW w:w="930" w:type="dxa"/>
          </w:tcPr>
          <w:p w14:paraId="16F44863"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825" w:type="dxa"/>
          </w:tcPr>
          <w:p w14:paraId="16F44864"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16F44869" w14:textId="77777777">
        <w:tc>
          <w:tcPr>
            <w:tcW w:w="8238" w:type="dxa"/>
          </w:tcPr>
          <w:p w14:paraId="16F44866" w14:textId="00B03A06">
            <w:pPr>
              <w:pStyle w:val="Text1"/>
              <w:spacing w:before="40" w:after="40"/>
              <w:ind w:left="709"/>
            </w:pPr>
            <w:bookmarkStart w:id="19" w:name="_DV_C395"/>
            <w:r>
              <w:rPr>
                <w:color w:val="000000" w:themeColor="text1"/>
              </w:rPr>
              <w:t>V)</w:t>
            </w:r>
            <w:r>
              <w:t xml:space="preserve"> les infractions </w:t>
            </w:r>
            <w:bookmarkStart w:id="20" w:name="_DV_M253"/>
            <w:bookmarkEnd w:id="19"/>
            <w:bookmarkEnd w:id="20"/>
            <w:r>
              <w:t>terroristes</w:t>
            </w:r>
            <w:bookmarkStart w:id="21" w:name="_DV_C397"/>
            <w:r>
              <w:rPr>
                <w:color w:val="000000" w:themeColor="text1"/>
              </w:rPr>
              <w:t xml:space="preserve"> ou les infractions liées aux activités terroristes au sens des articles 3 à 12 de la directive (UE) 2017/541 du Parlement européen et du</w:t>
            </w:r>
            <w:bookmarkStart w:id="22" w:name="_DV_C399"/>
            <w:bookmarkEnd w:id="21"/>
            <w:r>
              <w:rPr>
                <w:color w:val="000000" w:themeColor="text1"/>
              </w:rPr>
              <w:t xml:space="preserve"> Conseil, ou l’incitation à commettre une infraction, la complicité ou la tentative d’infraction telles qu’elles sont visées à l’article 14 de ladite</w:t>
            </w:r>
            <w:r>
              <w:t xml:space="preserve"> directive;</w:t>
            </w:r>
            <w:bookmarkEnd w:id="22"/>
          </w:p>
        </w:tc>
        <w:tc>
          <w:tcPr>
            <w:tcW w:w="930" w:type="dxa"/>
          </w:tcPr>
          <w:p w14:paraId="16F44867"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825" w:type="dxa"/>
          </w:tcPr>
          <w:p w14:paraId="16F44868"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16F4486D" w14:textId="77777777">
        <w:tc>
          <w:tcPr>
            <w:tcW w:w="8238" w:type="dxa"/>
          </w:tcPr>
          <w:p w14:paraId="16F4486A" w14:textId="6CBB2B88">
            <w:pPr>
              <w:pStyle w:val="Text1"/>
              <w:spacing w:before="40" w:after="40"/>
              <w:ind w:left="709"/>
              <w:rPr>
                <w:color w:val="000000"/>
              </w:rPr>
            </w:pPr>
            <w:bookmarkStart w:id="23" w:name="_DV_C400"/>
            <w:r>
              <w:rPr>
                <w:color w:val="000000"/>
              </w:rPr>
              <w:t>VI)</w:t>
            </w:r>
            <w:r>
              <w:t xml:space="preserve"> travail </w:t>
            </w:r>
            <w:bookmarkStart w:id="24" w:name="_DV_M254"/>
            <w:bookmarkEnd w:id="23"/>
            <w:bookmarkEnd w:id="24"/>
            <w:r>
              <w:t xml:space="preserve">des enfants ou autres infractions liées à la traite des êtres humains </w:t>
            </w:r>
            <w:bookmarkStart w:id="25" w:name="_DV_C402"/>
            <w:r>
              <w:rPr>
                <w:color w:val="000000"/>
              </w:rPr>
              <w:t xml:space="preserve">visées à l’article 2 de la directive no 2011/36/UE du Parlement européen et</w:t>
            </w:r>
            <w:bookmarkStart w:id="26" w:name="_DV_C404"/>
            <w:bookmarkEnd w:id="25"/>
            <w:r>
              <w:rPr>
                <w:color w:val="000000"/>
              </w:rPr>
              <w:t xml:space="preserve"> du</w:t>
            </w:r>
            <w:r>
              <w:t xml:space="preserve"> Conseil;</w:t>
            </w:r>
            <w:bookmarkEnd w:id="26"/>
          </w:p>
        </w:tc>
        <w:tc>
          <w:tcPr>
            <w:tcW w:w="930" w:type="dxa"/>
          </w:tcPr>
          <w:p w14:paraId="16F4486B"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825" w:type="dxa"/>
          </w:tcPr>
          <w:p w14:paraId="16F4486C"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16F44871" w14:textId="77777777">
        <w:tc>
          <w:tcPr>
            <w:tcW w:w="8238" w:type="dxa"/>
          </w:tcPr>
          <w:p w14:paraId="16F4486E" w14:textId="2729BE51">
            <w:pPr>
              <w:pStyle w:val="Text1"/>
              <w:numPr>
                <w:ilvl w:val="0"/>
                <w:numId w:val="15"/>
              </w:numPr>
              <w:spacing w:before="40" w:after="40"/>
              <w:rPr>
                <w:color w:val="000000"/>
              </w:rPr>
            </w:pPr>
            <w:r>
              <w:t xml:space="preserve">elle a gravement manqué à des obligations essentielles dans l’exécution d’un engagement juridique financé par le budget de l’Union, ce qui a conduit à la résiliation anticipée de l’engagement juridique ou à l’application de dommages-intérêts forfaitaires ou d’autres pénalités contractuelles ou ce qui a été découvert à la suite de contrôles et d’audits ou d’enquêtes effectués par un ordonnateur, l’ </w:t>
            </w:r>
            <w:r>
              <w:rPr>
                <w:color w:val="000000"/>
              </w:rPr>
              <w:t xml:space="preserve">Office européen de lutte antifraude (OLAF)</w:t>
            </w:r>
            <w:r>
              <w:t xml:space="preserve">, la Cour des comptes ou le Parquet européen; </w:t>
            </w:r>
          </w:p>
        </w:tc>
        <w:tc>
          <w:tcPr>
            <w:tcW w:w="930" w:type="dxa"/>
          </w:tcPr>
          <w:p w14:paraId="16F4486F"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825" w:type="dxa"/>
          </w:tcPr>
          <w:p w14:paraId="16F44870"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16F44875" w14:textId="77777777">
        <w:tc>
          <w:tcPr>
            <w:tcW w:w="8238" w:type="dxa"/>
          </w:tcPr>
          <w:p w14:paraId="16F44872" w14:textId="7B238D0B">
            <w:pPr>
              <w:pStyle w:val="P68B1DB1-Text15"/>
              <w:numPr>
                <w:ilvl w:val="0"/>
                <w:numId w:val="15"/>
              </w:numPr>
              <w:spacing w:before="40" w:after="40"/>
            </w:pPr>
            <w:bookmarkStart w:id="27" w:name="_DV_C410"/>
            <w:r>
              <w:t xml:space="preserve">il a été établi par un jugement définitif ou une décision administrative définitive qu’elle a commis une irrégularité au sens de l’article 1, paragraphe 2, du règlement (CE, Euratom) no 2988/95</w:t>
            </w:r>
            <w:bookmarkEnd w:id="27"/>
            <w:r>
              <w:t xml:space="preserve"> du Conseil;</w:t>
            </w:r>
          </w:p>
        </w:tc>
        <w:tc>
          <w:tcPr>
            <w:tcW w:w="930" w:type="dxa"/>
          </w:tcPr>
          <w:p w14:paraId="16F44873"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825" w:type="dxa"/>
          </w:tcPr>
          <w:p w14:paraId="16F44874"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794E089C" w14:textId="77777777">
        <w:tc>
          <w:tcPr>
            <w:tcW w:w="8238" w:type="dxa"/>
          </w:tcPr>
          <w:p w14:paraId="5DEB9849" w14:textId="1D1B3674">
            <w:pPr>
              <w:pStyle w:val="P68B1DB1-Text15"/>
              <w:numPr>
                <w:ilvl w:val="0"/>
                <w:numId w:val="15"/>
              </w:numPr>
              <w:spacing w:before="40" w:after="40"/>
              <w:rPr>
                <w:color w:val="000000"/>
              </w:rPr>
            </w:pPr>
            <w:r>
              <w:t xml:space="preserve">il a été établi par un jugement définitif ou une décision administrative définitive que la personne a créé une entité dans une juridiction différente dans l’intention de se soustraire à des obligations fiscales, sociales ou à toute autre obligation légale, y compris relative au droit du travail, à l’emploi et aux conditions de travail, applicable sur le territoire où se trouve son siège statutaire, son administration centrale ou son principal établissement;</w:t>
            </w:r>
          </w:p>
        </w:tc>
        <w:tc>
          <w:tcPr>
            <w:tcW w:w="930" w:type="dxa"/>
          </w:tcPr>
          <w:p w14:paraId="323E098E" w14:textId="5CC3DF43">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825" w:type="dxa"/>
          </w:tcPr>
          <w:p w14:paraId="110148AE" w14:textId="71C1DB1B">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7680D48F" w14:textId="77777777">
        <w:tc>
          <w:tcPr>
            <w:tcW w:w="8238" w:type="dxa"/>
          </w:tcPr>
          <w:p w14:paraId="12F0F793" w14:textId="78F611C6">
            <w:pPr>
              <w:pStyle w:val="Text1"/>
              <w:numPr>
                <w:ilvl w:val="0"/>
                <w:numId w:val="15"/>
              </w:numPr>
              <w:spacing w:before="40" w:after="40"/>
              <w:rPr>
                <w:color w:val="000000"/>
              </w:rPr>
            </w:pPr>
            <w:r>
              <w:t>(</w:t>
            </w:r>
            <w:r>
              <w:rPr>
                <w:i/>
              </w:rPr>
              <w:t xml:space="preserve">uniquement pour les personnes morales</w:t>
            </w:r>
            <w:r>
              <w:t xml:space="preserve">) </w:t>
            </w:r>
            <w:r>
              <w:rPr>
                <w:color w:val="000000" w:themeColor="text1"/>
              </w:rPr>
              <w:t xml:space="preserve">il a été établi par un jugement définitif ou une décision administrative définitive que la personne a été créée dans l’intention visée au point g);</w:t>
            </w:r>
          </w:p>
        </w:tc>
        <w:tc>
          <w:tcPr>
            <w:tcW w:w="930" w:type="dxa"/>
          </w:tcPr>
          <w:p w14:paraId="415689BC" w14:textId="4F1B388E">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825" w:type="dxa"/>
          </w:tcPr>
          <w:p w14:paraId="2FEEC824" w14:textId="6945CFDF">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75D7408C" w14:textId="77777777">
        <w:tc>
          <w:tcPr>
            <w:tcW w:w="8238" w:type="dxa"/>
          </w:tcPr>
          <w:p w14:paraId="0ECDFB1F" w14:textId="5A52FFD3">
            <w:pPr>
              <w:pStyle w:val="Text1"/>
              <w:numPr>
                <w:ilvl w:val="0"/>
                <w:numId w:val="15"/>
              </w:numPr>
              <w:spacing w:before="40" w:after="40"/>
            </w:pPr>
            <w:r>
              <w:t xml:space="preserve"> elle s’est opposée, de manière intentionnelle et sans justification valable, à une enquête, à un contrôle ou à un audit effectué par le pouvoir adjudicateur, son représentant ou un auditeur, l’OLAF, le Parquet européen ou la Cour des comptes. On considère que la personne s’oppose à une enquête, à un contrôle ou à un audit lorsqu’elle mène des actions ayant pour but ou pour effet d’empêcher, d’entraver ou de retarder une activité nécessaire à la réalisation de l’enquête, du contrôle ou de l’audit. Ces actions consistent, en particulier, à refuser d’accorder l’accès nécessaire à ses locaux ou à tout autre espace utilisé à des fins professionnelles, à dissimuler ou à refuser de divulguer des informations ou à communiquer des informations fausses.</w:t>
            </w:r>
          </w:p>
        </w:tc>
        <w:tc>
          <w:tcPr>
            <w:tcW w:w="930" w:type="dxa"/>
          </w:tcPr>
          <w:p w14:paraId="0F27857E" w14:textId="1175AA9F">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825" w:type="dxa"/>
          </w:tcPr>
          <w:p w14:paraId="7A38F335" w14:textId="713C4ED6">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1A385EC2" w14:textId="77777777">
        <w:tc>
          <w:tcPr>
            <w:tcW w:w="8238" w:type="dxa"/>
          </w:tcPr>
          <w:p w14:paraId="3087E785" w14:textId="62074E4A">
            <w:pPr>
              <w:numPr>
                <w:ilvl w:val="0"/>
                <w:numId w:val="17"/>
              </w:numPr>
              <w:spacing w:before="40" w:after="40"/>
              <w:jc w:val="both"/>
            </w:pPr>
            <w:r>
              <w:t xml:space="preserve">déclare que, pour les situations visées aux points (1) c) à (1) i) ci-dessus, en l’absence de jugement définitif ou de décision administrative définitive, la personne fait l’objet des faits et constatations mentionnés à l’article 138, paragraphe 3, du RF, et notamment:</w:t>
            </w:r>
          </w:p>
        </w:tc>
        <w:tc>
          <w:tcPr>
            <w:tcW w:w="930" w:type="dxa"/>
          </w:tcPr>
          <w:p w14:paraId="68C9A1B2" w14:textId="05B15687">
            <w:pPr>
              <w:spacing w:before="240" w:after="120"/>
              <w:jc w:val="center"/>
            </w:pPr>
            <w:r>
              <w:t>OUI</w:t>
            </w:r>
            <w:r>
              <w:rPr>
                <w:rStyle w:val="FootnoteReference"/>
              </w:rPr>
              <w:footnoteReference w:id="4"/>
            </w:r>
          </w:p>
        </w:tc>
        <w:tc>
          <w:tcPr>
            <w:tcW w:w="825" w:type="dxa"/>
          </w:tcPr>
          <w:p w14:paraId="1A4D1557" w14:textId="4113B6AB">
            <w:pPr>
              <w:spacing w:before="240" w:after="120"/>
              <w:jc w:val="center"/>
            </w:pPr>
            <w:r>
              <w:t>NON</w:t>
            </w:r>
          </w:p>
        </w:tc>
      </w:tr>
      <w:tr w14:paraId="16F4487E" w14:textId="77777777">
        <w:trPr>
          <w:trHeight w:val="1579"/>
        </w:trPr>
        <w:tc>
          <w:tcPr>
            <w:tcW w:w="8238" w:type="dxa"/>
          </w:tcPr>
          <w:p w14:paraId="16F4487B" w14:textId="4D535A5A">
            <w:pPr>
              <w:pStyle w:val="P68B1DB1-Text15"/>
              <w:numPr>
                <w:ilvl w:val="0"/>
                <w:numId w:val="25"/>
              </w:numPr>
              <w:spacing w:before="40" w:after="40"/>
              <w:ind w:left="709" w:firstLine="0"/>
              <w:rPr>
                <w:color w:val="000000"/>
              </w:rPr>
            </w:pPr>
            <w:r>
              <w:t xml:space="preserve"> tombe sous le coup de faits établis dans le cadre d’audits ou d’enquêtes menés par le Parquet européen dans le cas des États membres participant à une coopération renforcée conformément au règlement (UE) 2017/1939, la Cour des comptes, l’OLAF ou l’auditeur interne ou de tout autre contrôle, audit ou vérification effectué sous la responsabilité de l’ordonnateur d’une institution de l’UE, d’un office européen ou d’une agence ou d’un organe de l’UE;</w:t>
            </w:r>
          </w:p>
        </w:tc>
        <w:tc>
          <w:tcPr>
            <w:tcW w:w="930" w:type="dxa"/>
          </w:tcPr>
          <w:p w14:paraId="16F4487C" w14:textId="6DD11AEB">
            <w:pPr>
              <w:spacing w:before="240" w:after="120"/>
              <w:jc w:val="center"/>
            </w:pPr>
            <w:r>
              <w:fldChar w:fldCharType="begin">
                <w:ffData>
                  <w:name w:val=""/>
                  <w:enabled/>
                  <w:calcOnExit w:val="0"/>
                  <w:checkBox>
                    <w:sizeAuto/>
                    <w:default w:val="0"/>
                  </w:checkBox>
                </w:ffData>
              </w:fldChar>
            </w:r>
            <w:r>
              <w:rPr/>
              <w:instrText xml:space="preserve"> FORMCHECKBOX </w:instrText>
            </w:r>
            <w:r>
              <w:rPr/>
            </w:r>
            <w:r>
              <w:rPr/>
              <w:fldChar w:fldCharType="separate"/>
            </w:r>
            <w:r>
              <w:rPr/>
              <w:fldChar w:fldCharType="end"/>
            </w:r>
          </w:p>
        </w:tc>
        <w:tc>
          <w:tcPr>
            <w:tcW w:w="825" w:type="dxa"/>
          </w:tcPr>
          <w:p w14:paraId="16F4487D"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5692311F" w14:textId="77777777">
        <w:trPr>
          <w:trHeight w:val="1346"/>
        </w:trPr>
        <w:tc>
          <w:tcPr>
            <w:tcW w:w="8238" w:type="dxa"/>
          </w:tcPr>
          <w:p w14:paraId="1BBF8C34" w14:textId="4485087B">
            <w:pPr>
              <w:pStyle w:val="P68B1DB1-Text15"/>
              <w:numPr>
                <w:ilvl w:val="0"/>
                <w:numId w:val="25"/>
              </w:numPr>
              <w:spacing w:before="40" w:after="40"/>
              <w:ind w:left="709" w:firstLine="0"/>
              <w:rPr>
                <w:color w:val="000000"/>
              </w:rPr>
            </w:pPr>
            <w:r>
              <w:t xml:space="preserve"> des décisions administratives non définitives ou des jugements non définitifs, y compris le cas échéant des mesures disciplinaires prises par l’organe de surveillance compétent qui est chargé de vérifier l’application des normes de déontologie professionnelle;</w:t>
            </w:r>
          </w:p>
        </w:tc>
        <w:tc>
          <w:tcPr>
            <w:tcW w:w="930" w:type="dxa"/>
          </w:tcPr>
          <w:p w14:paraId="1E7263A9" w14:textId="05F25552">
            <w:pPr>
              <w:spacing w:before="240" w:after="120"/>
              <w:jc w:val="center"/>
            </w:pPr>
            <w:r>
              <w:fldChar w:fldCharType="begin">
                <w:ffData>
                  <w:name w:val=""/>
                  <w:enabled/>
                  <w:calcOnExit w:val="0"/>
                  <w:checkBox>
                    <w:sizeAuto/>
                    <w:default w:val="0"/>
                  </w:checkBox>
                </w:ffData>
              </w:fldChar>
            </w:r>
            <w:r>
              <w:rPr/>
              <w:instrText xml:space="preserve"> FORMCHECKBOX </w:instrText>
            </w:r>
            <w:r>
              <w:rPr/>
            </w:r>
            <w:r>
              <w:rPr/>
              <w:fldChar w:fldCharType="separate"/>
            </w:r>
            <w:r>
              <w:rPr/>
              <w:fldChar w:fldCharType="end"/>
            </w:r>
          </w:p>
        </w:tc>
        <w:tc>
          <w:tcPr>
            <w:tcW w:w="825" w:type="dxa"/>
          </w:tcPr>
          <w:p w14:paraId="256609C9" w14:textId="3CBFD2E0">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074D4EBB" w14:textId="77777777">
        <w:trPr>
          <w:trHeight w:val="614"/>
        </w:trPr>
        <w:tc>
          <w:tcPr>
            <w:tcW w:w="8238" w:type="dxa"/>
          </w:tcPr>
          <w:p w14:paraId="41734894" w14:textId="3EA33A57">
            <w:pPr>
              <w:pStyle w:val="P68B1DB1-Text15"/>
              <w:numPr>
                <w:ilvl w:val="0"/>
                <w:numId w:val="25"/>
              </w:numPr>
              <w:spacing w:before="40" w:after="40"/>
              <w:ind w:left="709" w:firstLine="0"/>
              <w:rPr>
                <w:color w:val="000000"/>
              </w:rPr>
            </w:pPr>
            <w:r>
              <w:t xml:space="preserve">des faits visés dans les décisions des personnes ou des entités qui exécutent des fonds de l’Union;</w:t>
            </w:r>
          </w:p>
        </w:tc>
        <w:tc>
          <w:tcPr>
            <w:tcW w:w="930" w:type="dxa"/>
          </w:tcPr>
          <w:p w14:paraId="7EB43931" w14:textId="6397F222">
            <w:pPr>
              <w:spacing w:before="240" w:after="120"/>
              <w:jc w:val="center"/>
            </w:pPr>
            <w:r>
              <w:fldChar w:fldCharType="begin">
                <w:ffData>
                  <w:name w:val=""/>
                  <w:enabled/>
                  <w:calcOnExit w:val="0"/>
                  <w:checkBox>
                    <w:sizeAuto/>
                    <w:default w:val="0"/>
                  </w:checkBox>
                </w:ffData>
              </w:fldChar>
            </w:r>
            <w:r>
              <w:rPr/>
              <w:instrText xml:space="preserve"> FORMCHECKBOX </w:instrText>
            </w:r>
            <w:r>
              <w:rPr/>
            </w:r>
            <w:r>
              <w:rPr/>
              <w:fldChar w:fldCharType="separate"/>
            </w:r>
            <w:r>
              <w:rPr/>
              <w:fldChar w:fldCharType="end"/>
            </w:r>
          </w:p>
        </w:tc>
        <w:tc>
          <w:tcPr>
            <w:tcW w:w="825" w:type="dxa"/>
          </w:tcPr>
          <w:p w14:paraId="63030E6D" w14:textId="5730E302">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494260E4" w14:textId="77777777">
        <w:trPr>
          <w:trHeight w:val="473"/>
        </w:trPr>
        <w:tc>
          <w:tcPr>
            <w:tcW w:w="8238" w:type="dxa"/>
          </w:tcPr>
          <w:p w14:paraId="3BD21B53" w14:textId="1701E56A">
            <w:pPr>
              <w:pStyle w:val="Text1"/>
              <w:numPr>
                <w:ilvl w:val="0"/>
                <w:numId w:val="25"/>
              </w:numPr>
              <w:spacing w:before="40" w:after="40"/>
              <w:ind w:left="709" w:firstLine="0"/>
              <w:rPr>
                <w:color w:val="000000"/>
              </w:rPr>
            </w:pPr>
            <w:r>
              <w:rPr>
                <w:color w:val="000000"/>
              </w:rPr>
              <w:tab/>
              <w:t xml:space="preserve"> est visée par des informations transmises par les États membres qui exécutent des fonds de l’Union, en particulier les faits et constatations établis dans le cadre d’un jugement définitif ou d’une décision administrative définitive au niveau national quant à l’existence des situations d’exclusion visées au point</w:t>
            </w:r>
            <w:r>
              <w:t xml:space="preserve"> c) iv) ou d);</w:t>
            </w:r>
          </w:p>
        </w:tc>
        <w:tc>
          <w:tcPr>
            <w:tcW w:w="930" w:type="dxa"/>
          </w:tcPr>
          <w:p w14:paraId="066F0C42" w14:textId="4C93C88C">
            <w:pPr>
              <w:spacing w:before="240" w:after="120"/>
              <w:jc w:val="center"/>
            </w:pPr>
            <w:r>
              <w:fldChar w:fldCharType="begin">
                <w:ffData>
                  <w:name w:val=""/>
                  <w:enabled/>
                  <w:calcOnExit w:val="0"/>
                  <w:checkBox>
                    <w:sizeAuto/>
                    <w:default w:val="0"/>
                  </w:checkBox>
                </w:ffData>
              </w:fldChar>
            </w:r>
            <w:r>
              <w:rPr/>
              <w:instrText xml:space="preserve"> FORMCHECKBOX </w:instrText>
            </w:r>
            <w:r>
              <w:rPr/>
            </w:r>
            <w:r>
              <w:rPr/>
              <w:fldChar w:fldCharType="separate"/>
            </w:r>
            <w:r>
              <w:rPr/>
              <w:fldChar w:fldCharType="end"/>
            </w:r>
          </w:p>
        </w:tc>
        <w:tc>
          <w:tcPr>
            <w:tcW w:w="825" w:type="dxa"/>
          </w:tcPr>
          <w:p w14:paraId="6D35EFEE" w14:textId="5C8193C6">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3C758EFF" w14:textId="77777777">
        <w:trPr>
          <w:trHeight w:val="614"/>
        </w:trPr>
        <w:tc>
          <w:tcPr>
            <w:tcW w:w="8238" w:type="dxa"/>
          </w:tcPr>
          <w:p w14:paraId="128BE62B" w14:textId="3ECAC3C3">
            <w:pPr>
              <w:pStyle w:val="P68B1DB1-Text15"/>
              <w:numPr>
                <w:ilvl w:val="0"/>
                <w:numId w:val="25"/>
              </w:numPr>
              <w:spacing w:before="40" w:after="40"/>
              <w:ind w:left="709" w:firstLine="0"/>
              <w:rPr>
                <w:color w:val="000000"/>
              </w:rPr>
            </w:pPr>
            <w:r>
              <w:tab/>
              <w:t xml:space="preserve"> de décisions de la Commission relatives à la violation du droit de l’Union dans le domaine de la concurrence ou de décisions d’une autorité nationale compétente concernant la violation du droit de l’Union ou du droit national en matière de concurrence; </w:t>
            </w:r>
          </w:p>
        </w:tc>
        <w:tc>
          <w:tcPr>
            <w:tcW w:w="930" w:type="dxa"/>
          </w:tcPr>
          <w:p w14:paraId="1C09C335" w14:textId="0E204C8F">
            <w:pPr>
              <w:spacing w:before="240" w:after="120"/>
              <w:jc w:val="center"/>
            </w:pPr>
            <w:r>
              <w:fldChar w:fldCharType="begin">
                <w:ffData>
                  <w:name w:val=""/>
                  <w:enabled/>
                  <w:calcOnExit w:val="0"/>
                  <w:checkBox>
                    <w:sizeAuto/>
                    <w:default w:val="0"/>
                  </w:checkBox>
                </w:ffData>
              </w:fldChar>
            </w:r>
            <w:r>
              <w:rPr/>
              <w:instrText xml:space="preserve"> FORMCHECKBOX </w:instrText>
            </w:r>
            <w:r>
              <w:rPr/>
            </w:r>
            <w:r>
              <w:rPr/>
              <w:fldChar w:fldCharType="separate"/>
            </w:r>
            <w:r>
              <w:rPr/>
              <w:fldChar w:fldCharType="end"/>
            </w:r>
          </w:p>
        </w:tc>
        <w:tc>
          <w:tcPr>
            <w:tcW w:w="825" w:type="dxa"/>
          </w:tcPr>
          <w:p w14:paraId="3D929BF3" w14:textId="0825BEA1">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33963B7D" w14:textId="77777777">
        <w:trPr>
          <w:trHeight w:val="614"/>
        </w:trPr>
        <w:tc>
          <w:tcPr>
            <w:tcW w:w="8238" w:type="dxa"/>
          </w:tcPr>
          <w:p w14:paraId="3AFB7585" w14:textId="03C4E8C9">
            <w:pPr>
              <w:pStyle w:val="P68B1DB1-Text15"/>
              <w:numPr>
                <w:ilvl w:val="0"/>
                <w:numId w:val="25"/>
              </w:numPr>
              <w:spacing w:before="40" w:after="40"/>
              <w:ind w:left="709" w:firstLine="0"/>
              <w:rPr>
                <w:color w:val="000000"/>
              </w:rPr>
            </w:pPr>
            <w:bookmarkStart w:id="28" w:name="_Hlk208482090"/>
            <w:r>
              <w:t xml:space="preserve"> informée, par tout moyen, qu’elle fait l’objet d’une enquête de l’Office européen de lutte antifraude (OLAF), soit parce que l’OLAF lui a donné la possibilité de présenter ses observations sur les faits la concernant, soit parce qu’elle a fait l’objet de contrôles sur place effectués par l’OLAF au cours d’une enquête, soit parce qu’elle a été informée de l’ouverture ou de la clôture d’une enquête de l’OLAF la concernant, ou de toute circonstance liée à une telle enquête;</w:t>
            </w:r>
          </w:p>
        </w:tc>
        <w:tc>
          <w:tcPr>
            <w:tcW w:w="930" w:type="dxa"/>
          </w:tcPr>
          <w:p w14:paraId="7FF77DAD" w14:textId="2880DFD9">
            <w:pPr>
              <w:spacing w:before="240" w:after="120"/>
              <w:jc w:val="center"/>
            </w:pPr>
            <w:r>
              <w:fldChar w:fldCharType="begin">
                <w:ffData>
                  <w:name w:val=""/>
                  <w:enabled/>
                  <w:calcOnExit w:val="0"/>
                  <w:checkBox>
                    <w:sizeAuto/>
                    <w:default w:val="0"/>
                  </w:checkBox>
                </w:ffData>
              </w:fldChar>
            </w:r>
            <w:r>
              <w:rPr/>
              <w:instrText xml:space="preserve"> FORMCHECKBOX </w:instrText>
            </w:r>
            <w:r>
              <w:rPr/>
            </w:r>
            <w:r>
              <w:rPr/>
              <w:fldChar w:fldCharType="separate"/>
            </w:r>
            <w:r>
              <w:rPr/>
              <w:fldChar w:fldCharType="end"/>
            </w:r>
          </w:p>
        </w:tc>
        <w:tc>
          <w:tcPr>
            <w:tcW w:w="825" w:type="dxa"/>
          </w:tcPr>
          <w:p w14:paraId="549D5A18" w14:textId="731862B8">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206BE170" w14:textId="77777777">
        <w:trPr>
          <w:trHeight w:val="614"/>
        </w:trPr>
        <w:tc>
          <w:tcPr>
            <w:tcW w:w="8238" w:type="dxa"/>
            <w:tcBorders>
              <w:top w:val="single" w:sz="4" w:space="0" w:color="auto"/>
              <w:left w:val="single" w:sz="4" w:space="0" w:color="auto"/>
              <w:bottom w:val="single" w:sz="4" w:space="0" w:color="auto"/>
              <w:right w:val="single" w:sz="4" w:space="0" w:color="auto"/>
            </w:tcBorders>
          </w:tcPr>
          <w:p w14:paraId="30B48811" w14:textId="72297BA5">
            <w:pPr>
              <w:pStyle w:val="P68B1DB1-Text15"/>
              <w:numPr>
                <w:ilvl w:val="0"/>
                <w:numId w:val="25"/>
              </w:numPr>
              <w:spacing w:before="40" w:after="40"/>
              <w:ind w:left="709" w:firstLine="0"/>
              <w:rPr>
                <w:color w:val="000000" w:themeColor="text1"/>
              </w:rPr>
            </w:pPr>
            <w:bookmarkStart w:id="29" w:name="_DV_C376"/>
            <w:bookmarkEnd w:id="28"/>
            <w:r>
              <w:t xml:space="preserve"> se trouve dans d’autres situations similaires. </w:t>
            </w:r>
          </w:p>
        </w:tc>
        <w:tc>
          <w:tcPr>
            <w:tcW w:w="930" w:type="dxa"/>
            <w:tcBorders>
              <w:top w:val="single" w:sz="4" w:space="0" w:color="auto"/>
              <w:left w:val="single" w:sz="4" w:space="0" w:color="auto"/>
              <w:bottom w:val="single" w:sz="4" w:space="0" w:color="auto"/>
              <w:right w:val="single" w:sz="4" w:space="0" w:color="auto"/>
            </w:tcBorders>
          </w:tcPr>
          <w:p w14:paraId="18D4CD0B" w14:textId="77777777">
            <w:pPr>
              <w:spacing w:before="240" w:after="120"/>
              <w:jc w:val="center"/>
            </w:pPr>
            <w:r>
              <w:fldChar w:fldCharType="begin">
                <w:ffData>
                  <w:name w:val=""/>
                  <w:enabled/>
                  <w:calcOnExit w:val="0"/>
                  <w:checkBox>
                    <w:sizeAuto/>
                    <w:default w:val="0"/>
                  </w:checkBox>
                </w:ffData>
              </w:fldChar>
            </w:r>
            <w:r>
              <w:rPr/>
              <w:instrText xml:space="preserve"> FORMCHECKBOX </w:instrText>
            </w:r>
            <w:r>
              <w:rPr/>
            </w:r>
            <w:r>
              <w:rPr/>
              <w:fldChar w:fldCharType="separate"/>
            </w:r>
            <w:r>
              <w:rPr/>
              <w:fldChar w:fldCharType="end"/>
            </w:r>
          </w:p>
        </w:tc>
        <w:tc>
          <w:tcPr>
            <w:tcW w:w="825" w:type="dxa"/>
            <w:tcBorders>
              <w:top w:val="single" w:sz="4" w:space="0" w:color="auto"/>
              <w:left w:val="single" w:sz="4" w:space="0" w:color="auto"/>
              <w:bottom w:val="single" w:sz="4" w:space="0" w:color="auto"/>
              <w:right w:val="single" w:sz="4" w:space="0" w:color="auto"/>
            </w:tcBorders>
          </w:tcPr>
          <w:p w14:paraId="36CAE2CF"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bl>
    <w:p w14:paraId="16F4487F" w14:textId="3C305866">
      <w:pPr>
        <w:pStyle w:val="Title"/>
        <w:jc w:val="both"/>
      </w:pPr>
      <w:r>
        <w:t xml:space="preserve">II — Situations d’exclusion concernant les personnes physiques ou morales ayant le pouvoir de représentation, de décision ou de contrôle à l’égard de la personne morale et les bénéficiaires effectifs</w:t>
      </w:r>
    </w:p>
    <w:p w14:paraId="16F44880" w14:textId="6842849F">
      <w:pPr>
        <w:autoSpaceDE w:val="0"/>
        <w:autoSpaceDN w:val="0"/>
        <w:adjustRightInd w:val="0"/>
        <w:spacing w:before="120" w:after="240"/>
        <w:jc w:val="center"/>
        <w:rPr>
          <w:b/>
          <w:bCs/>
          <w:i/>
          <w:iCs/>
          <w:u w:val="single"/>
        </w:rPr>
        <w:pStyle w:val="P68B1DB1-Normal6"/>
      </w:pPr>
      <w:r>
        <w:t xml:space="preserve">Ne s’applique pas lorsque «la personne» est une personne physique, un État membre ou une autorité locale. Dans tous les autres cas, à remplir par toutes les entités concernées.</w:t>
      </w:r>
    </w:p>
    <w:tbl>
      <w:tblPr>
        <w:tblW w:w="93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9"/>
        <w:gridCol w:w="858"/>
        <w:gridCol w:w="952"/>
        <w:gridCol w:w="813"/>
      </w:tblGrid>
      <w:tr w14:paraId="16F44885" w14:textId="77777777">
        <w:trPr>
          <w:jc w:val="center"/>
        </w:trPr>
        <w:tc>
          <w:tcPr>
            <w:tcW w:w="6759" w:type="dxa"/>
            <w:vAlign w:val="center"/>
          </w:tcPr>
          <w:p w14:paraId="16F44881" w14:textId="5DA6FC46">
            <w:pPr>
              <w:numPr>
                <w:ilvl w:val="0"/>
                <w:numId w:val="17"/>
              </w:numPr>
              <w:spacing w:before="40" w:after="40"/>
              <w:jc w:val="both"/>
            </w:pPr>
            <w:r>
              <w:t xml:space="preserve">déclare qu’une personne physique ou morale qui est membre de l’organe d’administration, de direction ou de surveillance de la personne ou qui possède des pouvoirs de représentation, de décision ou de contrôle à l’égard de la personne (à savoir, par exemple, les chefs d’entreprise, les membres des organes de direction ou de surveillance et les personnes physiques ou morales détenant, à titre individuel, la majorité des parts), ou un bénéficiaire effectif de la personne [au sens de l’article 3, point 6), de la directive (UE) 2015/849] se trouve dans l’une des situations suivantes: </w:t>
            </w:r>
          </w:p>
        </w:tc>
        <w:tc>
          <w:tcPr>
            <w:tcW w:w="858" w:type="dxa"/>
          </w:tcPr>
          <w:p w14:paraId="16F44882" w14:textId="77777777">
            <w:pPr>
              <w:spacing w:before="240" w:after="120"/>
              <w:jc w:val="center"/>
            </w:pPr>
            <w:r>
              <w:t>OUI</w:t>
            </w:r>
          </w:p>
        </w:tc>
        <w:tc>
          <w:tcPr>
            <w:tcW w:w="952" w:type="dxa"/>
          </w:tcPr>
          <w:p w14:paraId="16F44883" w14:textId="77777777">
            <w:pPr>
              <w:spacing w:before="240" w:after="120"/>
              <w:jc w:val="center"/>
            </w:pPr>
            <w:r>
              <w:t>NON</w:t>
            </w:r>
          </w:p>
        </w:tc>
        <w:tc>
          <w:tcPr>
            <w:tcW w:w="813" w:type="dxa"/>
          </w:tcPr>
          <w:p w14:paraId="16F44884" w14:textId="77777777">
            <w:pPr>
              <w:spacing w:before="240" w:after="120"/>
              <w:jc w:val="center"/>
            </w:pPr>
            <w:r>
              <w:t xml:space="preserve">SANS OBJET.</w:t>
            </w:r>
          </w:p>
        </w:tc>
      </w:tr>
      <w:tr w14:paraId="16F4488A" w14:textId="77777777">
        <w:trPr>
          <w:jc w:val="center"/>
        </w:trPr>
        <w:tc>
          <w:tcPr>
            <w:tcW w:w="6759" w:type="dxa"/>
            <w:vAlign w:val="center"/>
          </w:tcPr>
          <w:p w14:paraId="16F44886" w14:textId="10477DDC">
            <w:pPr>
              <w:pStyle w:val="Text1"/>
              <w:spacing w:before="40" w:after="40"/>
              <w:ind w:left="360"/>
            </w:pPr>
            <w:r>
              <w:t xml:space="preserve">Situation (1) (c) ci-dessus (faute professionnelle grave)</w:t>
            </w:r>
          </w:p>
        </w:tc>
        <w:tc>
          <w:tcPr>
            <w:tcW w:w="858" w:type="dxa"/>
            <w:vAlign w:val="center"/>
          </w:tcPr>
          <w:p w14:paraId="16F44887"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952" w:type="dxa"/>
            <w:vAlign w:val="center"/>
          </w:tcPr>
          <w:p w14:paraId="16F44888"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813" w:type="dxa"/>
          </w:tcPr>
          <w:p w14:paraId="16F44889"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16F4488F" w14:textId="77777777">
        <w:trPr>
          <w:jc w:val="center"/>
        </w:trPr>
        <w:tc>
          <w:tcPr>
            <w:tcW w:w="6759" w:type="dxa"/>
            <w:vAlign w:val="center"/>
          </w:tcPr>
          <w:p w14:paraId="16F4488B" w14:textId="696BDCFB">
            <w:pPr>
              <w:pStyle w:val="Text1"/>
              <w:spacing w:before="40" w:after="40"/>
              <w:ind w:left="360"/>
            </w:pPr>
            <w:r>
              <w:t xml:space="preserve">Situation (1) (d) ci-dessus (fraude, corruption ou autre infraction pénale)</w:t>
            </w:r>
          </w:p>
        </w:tc>
        <w:tc>
          <w:tcPr>
            <w:tcW w:w="858" w:type="dxa"/>
            <w:vAlign w:val="center"/>
          </w:tcPr>
          <w:p w14:paraId="16F4488C"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952" w:type="dxa"/>
            <w:vAlign w:val="center"/>
          </w:tcPr>
          <w:p w14:paraId="16F4488D"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813" w:type="dxa"/>
          </w:tcPr>
          <w:p w14:paraId="16F4488E"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16F44894" w14:textId="77777777">
        <w:trPr>
          <w:jc w:val="center"/>
        </w:trPr>
        <w:tc>
          <w:tcPr>
            <w:tcW w:w="6759" w:type="dxa"/>
            <w:vAlign w:val="center"/>
          </w:tcPr>
          <w:p w14:paraId="16F44890" w14:textId="5BD531F0">
            <w:pPr>
              <w:pStyle w:val="Text1"/>
              <w:spacing w:before="40" w:after="40"/>
              <w:ind w:left="360"/>
            </w:pPr>
            <w:r>
              <w:t xml:space="preserve">Situation (1) (e) ci-dessus (manquements graves dans l’exécution d’un marché)</w:t>
            </w:r>
          </w:p>
        </w:tc>
        <w:tc>
          <w:tcPr>
            <w:tcW w:w="858" w:type="dxa"/>
            <w:vAlign w:val="center"/>
          </w:tcPr>
          <w:p w14:paraId="16F44891"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952" w:type="dxa"/>
            <w:vAlign w:val="center"/>
          </w:tcPr>
          <w:p w14:paraId="16F44892"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813" w:type="dxa"/>
          </w:tcPr>
          <w:p w14:paraId="16F44893"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16F44899" w14:textId="77777777">
        <w:trPr>
          <w:jc w:val="center"/>
        </w:trPr>
        <w:tc>
          <w:tcPr>
            <w:tcW w:w="6759" w:type="dxa"/>
            <w:vAlign w:val="center"/>
          </w:tcPr>
          <w:p w14:paraId="16F44895" w14:textId="63D853D5">
            <w:pPr>
              <w:pStyle w:val="Text1"/>
              <w:spacing w:before="40" w:after="40"/>
              <w:ind w:left="360"/>
            </w:pPr>
            <w:r>
              <w:t xml:space="preserve">Situation (1) (f) ci-dessus (irrégularité)</w:t>
            </w:r>
          </w:p>
        </w:tc>
        <w:tc>
          <w:tcPr>
            <w:tcW w:w="858" w:type="dxa"/>
            <w:vAlign w:val="center"/>
          </w:tcPr>
          <w:p w14:paraId="16F44896"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952" w:type="dxa"/>
            <w:vAlign w:val="center"/>
          </w:tcPr>
          <w:p w14:paraId="16F44897"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813" w:type="dxa"/>
          </w:tcPr>
          <w:p w14:paraId="16F44898"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2E60BF88" w14:textId="77777777">
        <w:trPr>
          <w:jc w:val="center"/>
        </w:trPr>
        <w:tc>
          <w:tcPr>
            <w:tcW w:w="6759" w:type="dxa"/>
            <w:vAlign w:val="center"/>
          </w:tcPr>
          <w:p w14:paraId="52155F20" w14:textId="2DEEC4DB">
            <w:pPr>
              <w:pStyle w:val="Text1"/>
              <w:spacing w:before="40" w:after="40"/>
              <w:ind w:left="360"/>
            </w:pPr>
            <w:r>
              <w:t xml:space="preserve">Situation (1) (g) ci-dessus (création d’une entité dans l’intention de se soustraire à des obligations légales)</w:t>
            </w:r>
          </w:p>
        </w:tc>
        <w:tc>
          <w:tcPr>
            <w:tcW w:w="858" w:type="dxa"/>
            <w:vAlign w:val="center"/>
          </w:tcPr>
          <w:p w14:paraId="18EF2326" w14:textId="0489205B">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952" w:type="dxa"/>
            <w:vAlign w:val="center"/>
          </w:tcPr>
          <w:p w14:paraId="29241816" w14:textId="1BAB0021">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813" w:type="dxa"/>
          </w:tcPr>
          <w:p w14:paraId="68BCCF11" w14:textId="0A30A6E4">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1503AB7C" w14:textId="77777777">
        <w:trPr>
          <w:jc w:val="center"/>
        </w:trPr>
        <w:tc>
          <w:tcPr>
            <w:tcW w:w="6759" w:type="dxa"/>
            <w:vAlign w:val="center"/>
          </w:tcPr>
          <w:p w14:paraId="4FFD6952" w14:textId="272C41E0">
            <w:pPr>
              <w:pStyle w:val="Text1"/>
              <w:spacing w:before="40" w:after="40"/>
              <w:ind w:left="360"/>
            </w:pPr>
            <w:r>
              <w:t xml:space="preserve">Situation (1) (h) ci-dessus (personne créée dans l’intention de se soustraire à des obligations légales)</w:t>
            </w:r>
          </w:p>
        </w:tc>
        <w:tc>
          <w:tcPr>
            <w:tcW w:w="858" w:type="dxa"/>
            <w:vAlign w:val="center"/>
          </w:tcPr>
          <w:p w14:paraId="47BE4182" w14:textId="6D91F41D">
            <w:pPr>
              <w:spacing w:before="240" w:after="120"/>
              <w:jc w:val="center"/>
            </w:pPr>
            <w:r>
              <w:fldChar w:fldCharType="begin">
                <w:ffData>
                  <w:name w:val=""/>
                  <w:enabled/>
                  <w:calcOnExit w:val="0"/>
                  <w:checkBox>
                    <w:sizeAuto/>
                    <w:default w:val="0"/>
                  </w:checkBox>
                </w:ffData>
              </w:fldChar>
            </w:r>
            <w:r>
              <w:rPr/>
              <w:instrText xml:space="preserve"> FORMCHECKBOX </w:instrText>
            </w:r>
            <w:r>
              <w:rPr/>
            </w:r>
            <w:r>
              <w:rPr/>
              <w:fldChar w:fldCharType="separate"/>
            </w:r>
            <w:r>
              <w:rPr/>
              <w:fldChar w:fldCharType="end"/>
            </w:r>
          </w:p>
        </w:tc>
        <w:tc>
          <w:tcPr>
            <w:tcW w:w="952" w:type="dxa"/>
            <w:vAlign w:val="center"/>
          </w:tcPr>
          <w:p w14:paraId="68E40672" w14:textId="63BF3438">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813" w:type="dxa"/>
          </w:tcPr>
          <w:p w14:paraId="0ED824AD" w14:textId="65CC82D7">
            <w:pPr>
              <w:spacing w:before="240" w:after="120"/>
              <w:jc w:val="center"/>
            </w:pPr>
            <w:r>
              <w:fldChar w:fldCharType="begin">
                <w:ffData>
                  <w:name w:val=""/>
                  <w:enabled/>
                  <w:calcOnExit w:val="0"/>
                  <w:checkBox>
                    <w:sizeAuto/>
                    <w:default w:val="0"/>
                  </w:checkBox>
                </w:ffData>
              </w:fldChar>
            </w:r>
            <w:r>
              <w:rPr/>
              <w:instrText xml:space="preserve"> FORMCHECKBOX </w:instrText>
            </w:r>
            <w:r>
              <w:rPr/>
            </w:r>
            <w:r>
              <w:rPr/>
              <w:fldChar w:fldCharType="separate"/>
            </w:r>
            <w:r>
              <w:rPr/>
              <w:fldChar w:fldCharType="end"/>
            </w:r>
          </w:p>
        </w:tc>
      </w:tr>
      <w:tr w14:paraId="547B5365" w14:textId="77777777">
        <w:trPr>
          <w:jc w:val="center"/>
        </w:trPr>
        <w:tc>
          <w:tcPr>
            <w:tcW w:w="6759" w:type="dxa"/>
            <w:tcBorders>
              <w:top w:val="single" w:sz="4" w:space="0" w:color="auto"/>
              <w:left w:val="single" w:sz="4" w:space="0" w:color="auto"/>
              <w:bottom w:val="single" w:sz="4" w:space="0" w:color="auto"/>
              <w:right w:val="single" w:sz="4" w:space="0" w:color="auto"/>
            </w:tcBorders>
            <w:vAlign w:val="center"/>
          </w:tcPr>
          <w:p w14:paraId="6EA7D49D" w14:textId="43E83A33">
            <w:pPr>
              <w:pStyle w:val="Text1"/>
              <w:spacing w:before="40" w:after="40"/>
              <w:ind w:left="360"/>
            </w:pPr>
            <w:r>
              <w:t xml:space="preserve">Situation visée au point 1 i) ci-dessus (s’est opposée intentionnellement et sans justification appropriée à une enquête, à un contrôle ou à un audit)</w:t>
            </w:r>
          </w:p>
        </w:tc>
        <w:tc>
          <w:tcPr>
            <w:tcW w:w="858" w:type="dxa"/>
            <w:tcBorders>
              <w:top w:val="single" w:sz="4" w:space="0" w:color="auto"/>
              <w:left w:val="single" w:sz="4" w:space="0" w:color="auto"/>
              <w:bottom w:val="single" w:sz="4" w:space="0" w:color="auto"/>
              <w:right w:val="single" w:sz="4" w:space="0" w:color="auto"/>
            </w:tcBorders>
            <w:vAlign w:val="center"/>
          </w:tcPr>
          <w:p w14:paraId="379478A8" w14:textId="4E9F16C5">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952" w:type="dxa"/>
            <w:tcBorders>
              <w:top w:val="single" w:sz="4" w:space="0" w:color="auto"/>
              <w:left w:val="single" w:sz="4" w:space="0" w:color="auto"/>
              <w:bottom w:val="single" w:sz="4" w:space="0" w:color="auto"/>
              <w:right w:val="single" w:sz="4" w:space="0" w:color="auto"/>
            </w:tcBorders>
          </w:tcPr>
          <w:p w14:paraId="55E594FB" w14:textId="59B607FD">
            <w:pPr>
              <w:spacing w:before="240" w:after="120"/>
              <w:jc w:val="center"/>
            </w:pPr>
            <w:r>
              <w:fldChar w:fldCharType="begin">
                <w:ffData>
                  <w:name w:val=""/>
                  <w:enabled/>
                  <w:calcOnExit w:val="0"/>
                  <w:checkBox>
                    <w:sizeAuto/>
                    <w:default w:val="0"/>
                  </w:checkBox>
                </w:ffData>
              </w:fldChar>
            </w:r>
            <w:r>
              <w:rPr/>
              <w:instrText xml:space="preserve"> FORMCHECKBOX </w:instrText>
            </w:r>
            <w:r>
              <w:rPr/>
            </w:r>
            <w:r>
              <w:rPr/>
              <w:fldChar w:fldCharType="separate"/>
            </w:r>
            <w:r>
              <w:rPr/>
              <w:fldChar w:fldCharType="end"/>
            </w:r>
          </w:p>
        </w:tc>
        <w:tc>
          <w:tcPr>
            <w:tcW w:w="813" w:type="dxa"/>
            <w:tcBorders>
              <w:top w:val="single" w:sz="4" w:space="0" w:color="auto"/>
              <w:left w:val="single" w:sz="4" w:space="0" w:color="auto"/>
              <w:bottom w:val="single" w:sz="4" w:space="0" w:color="auto"/>
              <w:right w:val="single" w:sz="4" w:space="0" w:color="auto"/>
            </w:tcBorders>
          </w:tcPr>
          <w:p w14:paraId="639133C1" w14:textId="46D0B875">
            <w:pPr>
              <w:spacing w:before="240" w:after="120"/>
              <w:jc w:val="center"/>
            </w:pPr>
            <w:r>
              <w:fldChar w:fldCharType="begin">
                <w:ffData>
                  <w:name w:val=""/>
                  <w:enabled/>
                  <w:calcOnExit w:val="0"/>
                  <w:checkBox>
                    <w:sizeAuto/>
                    <w:default w:val="0"/>
                  </w:checkBox>
                </w:ffData>
              </w:fldChar>
            </w:r>
            <w:r>
              <w:rPr/>
              <w:instrText xml:space="preserve"> FORMCHECKBOX </w:instrText>
            </w:r>
            <w:r>
              <w:rPr/>
            </w:r>
            <w:r>
              <w:rPr/>
              <w:fldChar w:fldCharType="separate"/>
            </w:r>
            <w:r>
              <w:rPr/>
              <w:fldChar w:fldCharType="end"/>
            </w:r>
          </w:p>
        </w:tc>
      </w:tr>
    </w:tbl>
    <w:p w14:paraId="06B1FD74" w14:textId="77777777">
      <w:pPr>
        <w:pStyle w:val="Title"/>
        <w:jc w:val="both"/>
      </w:pPr>
    </w:p>
    <w:p w14:paraId="16F4489A" w14:textId="52E718DF">
      <w:pPr>
        <w:pStyle w:val="Title"/>
        <w:jc w:val="both"/>
      </w:pPr>
      <w:r>
        <w:t xml:space="preserve">III — Situations d’exclusion concernant les personnes physiques ou morales qui répondent indéfiniment des dettes de la personne morale</w:t>
      </w:r>
    </w:p>
    <w:p w14:paraId="35672559" w14:textId="242B3A3A">
      <w:pPr>
        <w:autoSpaceDE w:val="0"/>
        <w:autoSpaceDN w:val="0"/>
        <w:adjustRightInd w:val="0"/>
        <w:spacing w:before="120" w:after="240"/>
        <w:jc w:val="center"/>
        <w:rPr>
          <w:i/>
          <w:iCs/>
        </w:rPr>
        <w:pStyle w:val="P68B1DB1-Normal6"/>
      </w:pPr>
      <w:r>
        <w:t xml:space="preserve">Ne s’applique pas lorsque «la personne» est une personne physique, un État membre, une autorité locale ou une personne morale à responsabilité limitée. Dans tous les autres cas, à remplir par toutes les entités concernées.</w:t>
      </w:r>
    </w:p>
    <w:p w14:paraId="363BC980" w14:textId="77777777"/>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14:paraId="16F4489F" w14:textId="77777777">
        <w:tc>
          <w:tcPr>
            <w:tcW w:w="7747" w:type="dxa"/>
          </w:tcPr>
          <w:p w14:paraId="16F4489B" w14:textId="517DF65E">
            <w:pPr>
              <w:numPr>
                <w:ilvl w:val="0"/>
                <w:numId w:val="17"/>
              </w:numPr>
              <w:spacing w:before="40" w:after="40"/>
              <w:jc w:val="both"/>
            </w:pPr>
            <w:r>
              <w:t xml:space="preserve"> déclare qu’une personne physique ou morale qui répond indéfiniment des dettes de la personne se trouve dans l’une des situations suivantes: </w:t>
            </w:r>
          </w:p>
        </w:tc>
        <w:tc>
          <w:tcPr>
            <w:tcW w:w="670" w:type="dxa"/>
          </w:tcPr>
          <w:p w14:paraId="16F4489C" w14:textId="77777777">
            <w:pPr>
              <w:spacing w:before="240" w:after="120"/>
              <w:jc w:val="center"/>
            </w:pPr>
            <w:r>
              <w:t>OUI</w:t>
            </w:r>
          </w:p>
        </w:tc>
        <w:tc>
          <w:tcPr>
            <w:tcW w:w="614" w:type="dxa"/>
          </w:tcPr>
          <w:p w14:paraId="16F4489D" w14:textId="77777777">
            <w:pPr>
              <w:spacing w:before="240" w:after="120"/>
              <w:jc w:val="center"/>
            </w:pPr>
            <w:r>
              <w:t>NON</w:t>
            </w:r>
          </w:p>
        </w:tc>
        <w:tc>
          <w:tcPr>
            <w:tcW w:w="630" w:type="dxa"/>
          </w:tcPr>
          <w:p w14:paraId="16F4489E" w14:textId="77777777">
            <w:pPr>
              <w:spacing w:before="240" w:after="120"/>
              <w:jc w:val="center"/>
            </w:pPr>
            <w:r>
              <w:t xml:space="preserve">SANS OBJET.</w:t>
            </w:r>
          </w:p>
        </w:tc>
      </w:tr>
      <w:tr w14:paraId="16F448A4" w14:textId="77777777">
        <w:tc>
          <w:tcPr>
            <w:tcW w:w="7747" w:type="dxa"/>
            <w:vAlign w:val="center"/>
          </w:tcPr>
          <w:p w14:paraId="16F448A0" w14:textId="77777777">
            <w:pPr>
              <w:pStyle w:val="Text1"/>
              <w:spacing w:before="40" w:after="40"/>
              <w:ind w:left="360"/>
            </w:pPr>
            <w:r>
              <w:t xml:space="preserve">Situation visée au point a) ci-dessus (faillite)</w:t>
            </w:r>
          </w:p>
        </w:tc>
        <w:tc>
          <w:tcPr>
            <w:tcW w:w="670" w:type="dxa"/>
            <w:vAlign w:val="center"/>
          </w:tcPr>
          <w:p w14:paraId="16F448A1"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614" w:type="dxa"/>
          </w:tcPr>
          <w:p w14:paraId="16F448A2"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630" w:type="dxa"/>
            <w:vAlign w:val="center"/>
          </w:tcPr>
          <w:p w14:paraId="16F448A3"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16F448A9" w14:textId="77777777">
        <w:tc>
          <w:tcPr>
            <w:tcW w:w="7747" w:type="dxa"/>
            <w:vAlign w:val="center"/>
          </w:tcPr>
          <w:p w14:paraId="16F448A5" w14:textId="77777777">
            <w:pPr>
              <w:pStyle w:val="Text1"/>
              <w:spacing w:before="40" w:after="40"/>
              <w:ind w:left="360"/>
            </w:pPr>
            <w:r>
              <w:t xml:space="preserve">Situation visée au point b) ci-dessus (non-respect du paiement des impôts ou des cotisations de sécurité sociale)</w:t>
            </w:r>
          </w:p>
        </w:tc>
        <w:tc>
          <w:tcPr>
            <w:tcW w:w="670" w:type="dxa"/>
            <w:vAlign w:val="center"/>
          </w:tcPr>
          <w:p w14:paraId="16F448A6"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614" w:type="dxa"/>
          </w:tcPr>
          <w:p w14:paraId="16F448A7"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630" w:type="dxa"/>
            <w:vAlign w:val="center"/>
          </w:tcPr>
          <w:p w14:paraId="16F448A8"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bl>
    <w:p w14:paraId="28F7EA99" w14:textId="76AEE25F">
      <w:pPr>
        <w:pStyle w:val="Title"/>
      </w:pPr>
      <w:r>
        <w:t xml:space="preserve">IV — Autres motifs de rejet de la présente procédure</w:t>
      </w:r>
    </w:p>
    <w:p w14:paraId="49EFC66C" w14:textId="603EB082">
      <w:pPr>
        <w:spacing w:before="120" w:after="120"/>
        <w:ind w:firstLine="1"/>
        <w:jc w:val="both"/>
        <w:rPr>
          <w:b/>
          <w:bCs/>
          <w:i/>
          <w:iCs/>
        </w:rPr>
        <w:pStyle w:val="P68B1DB1-Normal7"/>
      </w:pPr>
      <w:r>
        <w:t xml:space="preserve">(à remplir individuellement par le candidat/soumissionnaire unique ou par tous les membres du groupement cas de demande de participation/d’offre conjointe)</w:t>
      </w:r>
    </w:p>
    <w:tbl>
      <w:tblPr>
        <w:tblW w:w="9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7"/>
        <w:gridCol w:w="670"/>
        <w:gridCol w:w="759"/>
      </w:tblGrid>
      <w:tr w14:paraId="71808D1B" w14:textId="77777777">
        <w:trPr>
          <w:trHeight w:val="511"/>
        </w:trPr>
        <w:tc>
          <w:tcPr>
            <w:tcW w:w="8327" w:type="dxa"/>
          </w:tcPr>
          <w:p w14:paraId="0E9C0B15" w14:textId="77777777">
            <w:pPr>
              <w:spacing w:before="40" w:after="40"/>
              <w:jc w:val="both"/>
            </w:pPr>
            <w:r>
              <w:t xml:space="preserve">(5) déclare que la personne:</w:t>
            </w:r>
          </w:p>
        </w:tc>
        <w:tc>
          <w:tcPr>
            <w:tcW w:w="670" w:type="dxa"/>
          </w:tcPr>
          <w:p w14:paraId="1361E30C" w14:textId="77777777">
            <w:pPr>
              <w:spacing w:before="240" w:after="120"/>
              <w:jc w:val="center"/>
            </w:pPr>
            <w:r>
              <w:t>OUI</w:t>
            </w:r>
          </w:p>
        </w:tc>
        <w:tc>
          <w:tcPr>
            <w:tcW w:w="759" w:type="dxa"/>
          </w:tcPr>
          <w:p w14:paraId="2D50029A" w14:textId="77777777">
            <w:pPr>
              <w:spacing w:before="240" w:after="120"/>
              <w:jc w:val="center"/>
            </w:pPr>
            <w:r>
              <w:t>NON</w:t>
            </w:r>
          </w:p>
        </w:tc>
      </w:tr>
      <w:tr w14:paraId="68635D15" w14:textId="77777777">
        <w:tc>
          <w:tcPr>
            <w:tcW w:w="8327" w:type="dxa"/>
          </w:tcPr>
          <w:p w14:paraId="6BB249BB" w14:textId="77777777">
            <w:pPr>
              <w:pStyle w:val="Text1"/>
              <w:spacing w:before="40" w:after="40"/>
              <w:ind w:left="0"/>
            </w:pPr>
            <w:r>
              <w:t xml:space="preserve">a) a participé précédemment à la préparation des documents de marché utilisés dans la présente procédure d’attribution, lorsque cela a entraîné une violation du principe d’égalité de traitement, y compris une distorsion de concurrence qui ne peut être corrigée autrement. </w:t>
            </w:r>
          </w:p>
        </w:tc>
        <w:tc>
          <w:tcPr>
            <w:tcW w:w="670" w:type="dxa"/>
          </w:tcPr>
          <w:p w14:paraId="31C36DC4"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759" w:type="dxa"/>
          </w:tcPr>
          <w:p w14:paraId="3156C229"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bl>
    <w:p w14:paraId="7C03A2FA" w14:textId="77777777"/>
    <w:p w14:paraId="16F448B3" w14:textId="15E2BC2A">
      <w:pPr>
        <w:spacing w:before="120" w:after="120"/>
        <w:ind w:firstLine="1"/>
        <w:jc w:val="both"/>
      </w:pPr>
      <w:r>
        <w:t xml:space="preserve"> </w:t>
      </w:r>
      <w:bookmarkEnd w:id="29"/>
      <w:r>
        <w:rPr>
          <w:rFonts w:ascii="Times New Roman Bold" w:hAnsi="Times New Roman Bold"/>
          <w:b/>
          <w:smallCaps/>
          <w:kern w:val="28"/>
          <w:szCs w:val="32"/>
        </w:rPr>
        <w:t xml:space="preserve">V — Mesures correctrices</w:t>
      </w:r>
    </w:p>
    <w:p w14:paraId="16F448B4" w14:textId="0E80E9C8">
      <w:pPr>
        <w:spacing w:before="120" w:after="120"/>
        <w:jc w:val="both"/>
        <w:rPr>
          <w:color w:val="000000"/>
        </w:rPr>
      </w:pPr>
      <w:r>
        <w:t xml:space="preserve">Si la personne déclare l’une des </w:t>
      </w:r>
      <w:r>
        <w:rPr>
          <w:color w:val="000000" w:themeColor="text1"/>
        </w:rPr>
        <w:t xml:space="preserve">situations d’exclusion énumérées ci-dessus, elle peut indiquer les mesures correctrices qu’elle a prises pour remédier à la situation d’exclusion, afin de permettre à l’ordonnateur de déterminer si ces mesures sont suffisantes pour démontrer sa fiabilité. Il peut s’agir, par exemple, de mesures prises au niveau technique, de l’organisation et du personnel en vue d’éviter toute répétition, de l’indemnisation du dommage ou du paiement des amendes ou de tout impôt ou toute cotisation de sécurité sociale. </w:t>
      </w:r>
    </w:p>
    <w:p w14:paraId="773D5FBD" w14:textId="6FDC2569">
      <w:pPr>
        <w:spacing w:before="120" w:after="120"/>
        <w:jc w:val="both"/>
        <w:rPr>
          <w:color w:val="000000"/>
        </w:rPr>
        <w:pStyle w:val="P68B1DB1-Normal8"/>
      </w:pPr>
      <w:r>
        <w:t xml:space="preserve">Sans préjudice de l’évaluation de l’ordonnateur compétent, la personne ou l’entité présente des mesures correctrices qui ont été évaluées par un auditeur externe indépendant ou ont été jugées suffisantes par une décision d’une autorité nationale ou d’une autorité de l’Union. Les preuves documentaires pertinentes démontrant les mesures correctrices prises et leur évaluation doivent être annexées à la présente déclaration. Les mesures correctives ne s’appliquent pas aux situations visées à la section I, point (1) d), de la présente déclaration.</w:t>
      </w:r>
    </w:p>
    <w:p w14:paraId="16F448B5" w14:textId="3FE5177B">
      <w:pPr>
        <w:pStyle w:val="Title"/>
      </w:pPr>
      <w:r>
        <w:t xml:space="preserve">VI — Pièces justificatives relatives aux critères d’exclusion</w:t>
      </w:r>
    </w:p>
    <w:p w14:paraId="477A6316" w14:textId="3261E630">
      <w:pPr>
        <w:spacing w:before="120" w:after="120"/>
        <w:ind w:firstLine="11"/>
        <w:jc w:val="both"/>
      </w:pPr>
      <w:r>
        <w:t xml:space="preserve">Le cahier des charges précise en détail quelles entités associées doivent fournir les preuves appropriées pour prouver qu’elles ne se trouvent pas dans une situation d’exclusion visée au point (1) et à quel moment ces preuves doivent être fournies.</w:t>
      </w:r>
    </w:p>
    <w:p w14:paraId="3EE64640" w14:textId="03697B6E">
      <w:pPr>
        <w:spacing w:before="120" w:after="120"/>
        <w:jc w:val="both"/>
      </w:pPr>
      <w:r>
        <w:t xml:space="preserve">Les éléments de preuve ci-après pourraient être acceptés:</w:t>
      </w:r>
    </w:p>
    <w:p w14:paraId="16F448B7" w14:textId="7D810624">
      <w:pPr>
        <w:pStyle w:val="Text1"/>
        <w:numPr>
          <w:ilvl w:val="0"/>
          <w:numId w:val="38"/>
        </w:numPr>
        <w:spacing w:before="100" w:beforeAutospacing="1" w:after="100" w:afterAutospacing="1"/>
      </w:pPr>
      <w:r>
        <w:t xml:space="preserve">Pour les situations décrites aux points (1): a), c), d), f), g) et h) ci-dessus, un extrait récent du casier judiciaire ou, à défaut, un document équivalent délivré récemment par une autorité judiciaire ou administrative du pays d’établissement de la personne, dont il résulte que ces exigences sont satisfaites. </w:t>
      </w:r>
    </w:p>
    <w:p w14:paraId="16F448B8" w14:textId="65CFA682">
      <w:pPr>
        <w:pStyle w:val="ListParagraph"/>
        <w:numPr>
          <w:ilvl w:val="0"/>
          <w:numId w:val="38"/>
        </w:numPr>
        <w:tabs>
          <w:tab w:val="left" w:pos="-480"/>
          <w:tab w:val="left" w:pos="-142"/>
          <w:tab w:val="left" w:pos="426"/>
          <w:tab w:val="left" w:pos="4680"/>
          <w:tab w:val="left" w:pos="8400"/>
        </w:tabs>
        <w:spacing w:before="100" w:beforeAutospacing="1" w:after="100" w:afterAutospacing="1"/>
        <w:jc w:val="both"/>
      </w:pPr>
      <w:r>
        <w:t xml:space="preserve">Pour les cas mentionnés au point (1) (a), (b), des certificats récents délivrés par les autorités compétentes du pays d’établissement. Ces documents doivent apporter la preuve du paiement de tous les impôts, taxes et cotisations de sécurité sociale dont la personne est redevable, y compris la TVA, l’impôt sur le revenu (personnes physiques uniquement), l’impôt sur les sociétés (personnes morales uniquement) et les charges sociales. Lorsqu’un document visé ci-dessus n’est pas délivré dans le pays d’établissement, il peut être remplacé par une déclaration sous serment faite devant une autorité judiciaire ou un notaire ou, à défaut, une déclaration solennelle faite devant une autorité administrative ou un organisme professionnel qualifié du pays d’établissement.</w:t>
      </w:r>
    </w:p>
    <w:p w14:paraId="16F448B9" w14:textId="6993ED04">
      <w:pPr>
        <w:spacing w:before="100" w:beforeAutospacing="1" w:after="100" w:afterAutospacing="1"/>
        <w:jc w:val="both"/>
      </w:pPr>
      <w:r>
        <w:t xml:space="preserve">La personne n’est pas tenue de fournir les justificatifs si elle les a déjà présentés aux fins d’une autre procédure d’attribution du même pouvoir adjudicateur</w:t>
      </w:r>
      <w:r>
        <w:rPr>
          <w:rStyle w:val="FootnoteReference"/>
        </w:rPr>
        <w:footnoteReference w:id="5"/>
      </w:r>
      <w:r>
        <w:t xml:space="preserve">. Les documents ne doivent pas avoir été délivrés plus d’un an avant la date à laquelle ils ont été demandés par le pouvoir adjudicateur et doivent être toujours valables à cette date. </w:t>
      </w:r>
    </w:p>
    <w:p w14:paraId="16F448BA" w14:textId="1463A7B7">
      <w:pPr>
        <w:spacing w:before="100" w:beforeAutospacing="1" w:after="100" w:afterAutospacing="1"/>
        <w:jc w:val="both"/>
      </w:pPr>
      <w:r>
        <w:t xml:space="preserve">Le signataire déclare que la personne a déjà fourni les preuves documentaires aux fins d’une précédente procédure et confirme qu’aucun changement n’est intervenu dans sa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14:paraId="16F448BD" w14:textId="77777777">
        <w:tc>
          <w:tcPr>
            <w:tcW w:w="4786" w:type="dxa"/>
          </w:tcPr>
          <w:p w14:paraId="16F448BB" w14:textId="77777777">
            <w:pPr>
              <w:spacing w:before="100" w:beforeAutospacing="1" w:after="100" w:afterAutospacing="1"/>
              <w:jc w:val="center"/>
              <w:rPr>
                <w:b/>
                <w:bCs/>
                <w:sz w:val="22"/>
                <w:szCs w:val="22"/>
              </w:rPr>
              <w:pStyle w:val="P68B1DB1-Normal4"/>
            </w:pPr>
            <w:r>
              <w:t>Document</w:t>
            </w:r>
          </w:p>
        </w:tc>
        <w:tc>
          <w:tcPr>
            <w:tcW w:w="4678" w:type="dxa"/>
          </w:tcPr>
          <w:p w14:paraId="16F448BC" w14:textId="77777777">
            <w:pPr>
              <w:spacing w:before="100" w:beforeAutospacing="1" w:after="100" w:afterAutospacing="1"/>
              <w:jc w:val="center"/>
              <w:rPr>
                <w:b/>
                <w:bCs/>
                <w:sz w:val="22"/>
                <w:szCs w:val="22"/>
              </w:rPr>
              <w:pStyle w:val="P68B1DB1-Normal4"/>
            </w:pPr>
            <w:r>
              <w:t xml:space="preserve">Référence complète de la précédente procédure</w:t>
            </w:r>
          </w:p>
        </w:tc>
      </w:tr>
      <w:tr w14:paraId="16F448C0" w14:textId="77777777">
        <w:tc>
          <w:tcPr>
            <w:tcW w:w="4786" w:type="dxa"/>
          </w:tcPr>
          <w:p w14:paraId="16F448BE" w14:textId="77777777">
            <w:pPr>
              <w:spacing w:before="100" w:beforeAutospacing="1" w:after="100" w:afterAutospacing="1"/>
              <w:pStyle w:val="P68B1DB1-Normal3"/>
            </w:pPr>
            <w:r>
              <w:t xml:space="preserve">Insérer autant de lignes que nécessaire.</w:t>
            </w:r>
          </w:p>
        </w:tc>
        <w:tc>
          <w:tcPr>
            <w:tcW w:w="4678" w:type="dxa"/>
          </w:tcPr>
          <w:p w14:paraId="16F448BF" w14:textId="77777777">
            <w:pPr>
              <w:spacing w:before="100" w:beforeAutospacing="1" w:after="100" w:afterAutospacing="1"/>
            </w:pPr>
          </w:p>
        </w:tc>
      </w:tr>
    </w:tbl>
    <w:p w14:paraId="33402EAC" w14:textId="3D2F3892">
      <w:pPr>
        <w:spacing w:before="100" w:beforeAutospacing="1" w:after="100" w:afterAutospacing="1"/>
        <w:jc w:val="both"/>
      </w:pPr>
      <w:r>
        <w:t xml:space="preserve">La personne n’est pas tenue de fournir les justificatifs si ceux-ci peuvent être consultés sans frais dans une base de données nationale. </w:t>
      </w:r>
    </w:p>
    <w:p w14:paraId="0F58ED09" w14:textId="2FB86EF0">
      <w:pPr>
        <w:spacing w:before="100" w:beforeAutospacing="1" w:after="100" w:afterAutospacing="1"/>
        <w:jc w:val="both"/>
      </w:pPr>
      <w:r>
        <w:t xml:space="preserve">Le signataire déclare que l’adresse internet de la base de données/les données d’identification ci-après donne (nt) accès aux justificatifs demandés.</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14:paraId="2861D68B" w14:textId="77777777">
        <w:tc>
          <w:tcPr>
            <w:tcW w:w="4786" w:type="dxa"/>
          </w:tcPr>
          <w:p w14:paraId="080F9EE3" w14:textId="59725A52">
            <w:pPr>
              <w:spacing w:before="100" w:beforeAutospacing="1" w:after="100" w:afterAutospacing="1"/>
              <w:jc w:val="center"/>
              <w:rPr>
                <w:b/>
                <w:bCs/>
                <w:sz w:val="22"/>
                <w:szCs w:val="22"/>
              </w:rPr>
            </w:pPr>
            <w:r>
              <w:t xml:space="preserve">Adresse internet de la base de données</w:t>
            </w:r>
          </w:p>
        </w:tc>
        <w:tc>
          <w:tcPr>
            <w:tcW w:w="4678" w:type="dxa"/>
          </w:tcPr>
          <w:p w14:paraId="5A4F1EEA" w14:textId="5DF54ACB">
            <w:pPr>
              <w:spacing w:before="100" w:beforeAutospacing="1" w:after="100" w:afterAutospacing="1"/>
              <w:jc w:val="center"/>
              <w:rPr>
                <w:b/>
                <w:bCs/>
                <w:sz w:val="22"/>
                <w:szCs w:val="22"/>
              </w:rPr>
            </w:pPr>
            <w:r>
              <w:t xml:space="preserve">Données d’identification du document </w:t>
            </w:r>
          </w:p>
        </w:tc>
      </w:tr>
      <w:tr w14:paraId="54C2A73F" w14:textId="77777777">
        <w:tc>
          <w:tcPr>
            <w:tcW w:w="4786" w:type="dxa"/>
          </w:tcPr>
          <w:p w14:paraId="4C705CAD" w14:textId="77777777">
            <w:pPr>
              <w:spacing w:before="100" w:beforeAutospacing="1" w:after="100" w:afterAutospacing="1"/>
              <w:pStyle w:val="P68B1DB1-Normal3"/>
            </w:pPr>
            <w:r>
              <w:t xml:space="preserve">Insérer autant de lignes que nécessaire.</w:t>
            </w:r>
          </w:p>
        </w:tc>
        <w:tc>
          <w:tcPr>
            <w:tcW w:w="4678" w:type="dxa"/>
          </w:tcPr>
          <w:p w14:paraId="0DA02BF2" w14:textId="77777777">
            <w:pPr>
              <w:spacing w:before="100" w:beforeAutospacing="1" w:after="100" w:afterAutospacing="1"/>
            </w:pPr>
          </w:p>
        </w:tc>
      </w:tr>
    </w:tbl>
    <w:p w14:paraId="529D776B" w14:textId="3C950355">
      <w:pPr>
        <w:pStyle w:val="Title"/>
        <w:numPr>
          <w:ilvl w:val="0"/>
          <w:numId w:val="30"/>
        </w:numPr>
        <w:ind w:left="567" w:hanging="567"/>
        <w:jc w:val="both"/>
      </w:pPr>
      <w:r>
        <w:t xml:space="preserve">Déclaration sur l’honneur relative aux critères de sélection </w:t>
      </w:r>
    </w:p>
    <w:p w14:paraId="2D59BB2A" w14:textId="01DD445D">
      <w:pPr>
        <w:spacing w:beforeAutospacing="1" w:afterAutospacing="1"/>
        <w:jc w:val="both"/>
      </w:pPr>
      <w:r>
        <w:t xml:space="preserve">Si la procédure comporte des lots, les déclarations dans cette partie B s’appliquent au (x) lot (s) pour le (s) quel (s) la demande de participation/l’offre est soumise.</w:t>
      </w:r>
    </w:p>
    <w:p w14:paraId="7232500E" w14:textId="59A72938">
      <w:pPr>
        <w:pStyle w:val="Title"/>
      </w:pPr>
      <w:r>
        <w:t xml:space="preserve">I — Critères de sélection</w:t>
      </w:r>
    </w:p>
    <w:p w14:paraId="7CE533D0" w14:textId="16A9A02E">
      <w:pPr>
        <w:jc w:val="both"/>
        <w:rPr>
          <w:b/>
          <w:bCs/>
          <w:u w:val="single"/>
        </w:rPr>
        <w:pStyle w:val="P68B1DB1-Normal9"/>
      </w:pPr>
      <w:r>
        <w:t xml:space="preserve">Critères de sélection applicables au candidat/soumissionnaire dans son ensemble — Évaluation consolidée </w:t>
      </w:r>
    </w:p>
    <w:p w14:paraId="1E43862B" w14:textId="28BF9BC9">
      <w:pPr>
        <w:spacing w:before="120" w:after="120"/>
        <w:ind w:firstLine="1"/>
        <w:jc w:val="both"/>
        <w:rPr>
          <w:b/>
          <w:bCs/>
          <w:i/>
          <w:iCs/>
        </w:rPr>
        <w:pStyle w:val="P68B1DB1-Normal7"/>
      </w:pPr>
      <w:bookmarkStart w:id="30" w:name="_Hlk203596443"/>
      <w:r>
        <w:t xml:space="preserve">(à remplir UNIQUEMENT par le candidat/soumissionnaire unique ou par le chef du groupement en cas de demande de participation/d’offre conjointe)</w:t>
      </w:r>
    </w:p>
    <w:p w14:paraId="580B2348" w14:textId="36EFDB8E">
      <w:pPr>
        <w:spacing w:before="120" w:after="120"/>
        <w:ind w:firstLine="1"/>
        <w:jc w:val="both"/>
      </w:pPr>
      <w:r>
        <w:t xml:space="preserve">La personne qui, en tant que candidat/soumissionnaire unique/chef du groupement en cas de demande de participation/d’offre conjointe, soumettant une demande de participation/offre dans le cadre de la procédure susmentionnée:</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9"/>
        <w:gridCol w:w="951"/>
        <w:gridCol w:w="992"/>
      </w:tblGrid>
      <w:tr w14:paraId="1E301121" w14:textId="77777777">
        <w:tc>
          <w:tcPr>
            <w:tcW w:w="7379" w:type="dxa"/>
            <w:tcBorders>
              <w:top w:val="single" w:sz="4" w:space="0" w:color="auto"/>
              <w:left w:val="single" w:sz="4" w:space="0" w:color="auto"/>
              <w:bottom w:val="single" w:sz="4" w:space="0" w:color="auto"/>
              <w:right w:val="single" w:sz="4" w:space="0" w:color="auto"/>
            </w:tcBorders>
            <w:hideMark/>
          </w:tcPr>
          <w:p w14:paraId="1DF8EF4D" w14:textId="00202667">
            <w:pPr>
              <w:spacing w:before="120" w:after="120"/>
              <w:jc w:val="both"/>
            </w:pPr>
            <w:r>
              <w:t xml:space="preserve">(6) déclare que le candidat/soumissionnaire, y compris tous les membres du groupement en cas de demande de participation/d’offre conjointe, les sous-traitants et les entités sur la capacité desquelles le candidat/soumissionnaire compte s’appuyer, le cas échéant:</w:t>
            </w:r>
          </w:p>
        </w:tc>
        <w:tc>
          <w:tcPr>
            <w:tcW w:w="951" w:type="dxa"/>
            <w:tcBorders>
              <w:top w:val="single" w:sz="4" w:space="0" w:color="auto"/>
              <w:left w:val="single" w:sz="4" w:space="0" w:color="auto"/>
              <w:bottom w:val="single" w:sz="4" w:space="0" w:color="auto"/>
              <w:right w:val="single" w:sz="4" w:space="0" w:color="auto"/>
            </w:tcBorders>
            <w:hideMark/>
          </w:tcPr>
          <w:p w14:paraId="72012666" w14:textId="77777777">
            <w:pPr>
              <w:spacing w:before="240" w:after="120"/>
              <w:jc w:val="center"/>
            </w:pPr>
            <w:r>
              <w:t>OUI</w:t>
            </w:r>
          </w:p>
        </w:tc>
        <w:tc>
          <w:tcPr>
            <w:tcW w:w="992" w:type="dxa"/>
            <w:tcBorders>
              <w:top w:val="single" w:sz="4" w:space="0" w:color="auto"/>
              <w:left w:val="single" w:sz="4" w:space="0" w:color="auto"/>
              <w:bottom w:val="single" w:sz="4" w:space="0" w:color="auto"/>
              <w:right w:val="single" w:sz="4" w:space="0" w:color="auto"/>
            </w:tcBorders>
            <w:hideMark/>
          </w:tcPr>
          <w:p w14:paraId="312B178F" w14:textId="77777777">
            <w:pPr>
              <w:spacing w:before="240" w:after="120"/>
              <w:jc w:val="center"/>
            </w:pPr>
            <w:r>
              <w:t>NON</w:t>
            </w:r>
          </w:p>
        </w:tc>
      </w:tr>
      <w:tr w14:paraId="08FCC78B" w14:textId="77777777">
        <w:tc>
          <w:tcPr>
            <w:tcW w:w="7379" w:type="dxa"/>
            <w:tcBorders>
              <w:top w:val="single" w:sz="4" w:space="0" w:color="auto"/>
              <w:left w:val="single" w:sz="4" w:space="0" w:color="auto"/>
              <w:bottom w:val="single" w:sz="4" w:space="0" w:color="auto"/>
              <w:right w:val="single" w:sz="4" w:space="0" w:color="auto"/>
            </w:tcBorders>
            <w:hideMark/>
          </w:tcPr>
          <w:p w14:paraId="350DEA98" w14:textId="50194509">
            <w:pPr>
              <w:pStyle w:val="Text1"/>
              <w:numPr>
                <w:ilvl w:val="0"/>
                <w:numId w:val="24"/>
              </w:numPr>
              <w:spacing w:before="40" w:after="40"/>
            </w:pPr>
            <w:r>
              <w:t xml:space="preserve">rempli (ssen) t tous les critères de sélection pour lesquels il sera procédé à une évaluation d’ensemble conformément au cahier des charges.</w:t>
            </w:r>
          </w:p>
        </w:tc>
        <w:tc>
          <w:tcPr>
            <w:tcW w:w="951" w:type="dxa"/>
            <w:tcBorders>
              <w:top w:val="single" w:sz="4" w:space="0" w:color="auto"/>
              <w:left w:val="single" w:sz="4" w:space="0" w:color="auto"/>
              <w:bottom w:val="single" w:sz="4" w:space="0" w:color="auto"/>
              <w:right w:val="single" w:sz="4" w:space="0" w:color="auto"/>
            </w:tcBorders>
            <w:hideMark/>
          </w:tcPr>
          <w:p w14:paraId="71ED8742" w14:textId="77777777">
            <w:pPr>
              <w:pStyle w:val="Text1"/>
              <w:spacing w:before="40" w:after="40"/>
              <w:ind w:left="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992" w:type="dxa"/>
            <w:tcBorders>
              <w:top w:val="single" w:sz="4" w:space="0" w:color="auto"/>
              <w:left w:val="single" w:sz="4" w:space="0" w:color="auto"/>
              <w:bottom w:val="single" w:sz="4" w:space="0" w:color="auto"/>
              <w:right w:val="single" w:sz="4" w:space="0" w:color="auto"/>
            </w:tcBorders>
            <w:hideMark/>
          </w:tcPr>
          <w:p w14:paraId="406AD81A" w14:textId="77777777">
            <w:pPr>
              <w:pStyle w:val="Text1"/>
              <w:spacing w:before="40" w:after="40"/>
              <w:ind w:left="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bl>
    <w:bookmarkEnd w:id="30"/>
    <w:p w14:paraId="50AB76DC" w14:textId="419BD58E">
      <w:pPr>
        <w:spacing w:before="100" w:beforeAutospacing="1" w:after="100" w:afterAutospacing="1"/>
        <w:jc w:val="both"/>
        <w:rPr>
          <w:b/>
          <w:bCs/>
          <w:i/>
          <w:iCs/>
          <w:color w:val="0070C0"/>
        </w:rPr>
        <w:pStyle w:val="P68B1DB1-Normal10"/>
      </w:pPr>
      <w:r>
        <w:t xml:space="preserve">Le pouvoir adjudicateur doit insérer l’option ci-dessous s’il y a lieu conformément aux documents de marché. Le pouvoir adjudicateur doit supprimer la section ci-dessous en l’absence de critères de sélection applicables à titre individuel. Si de tels critères existent, le pouvoir adjudicateur doit adapter le tableau en fonction des critères mentionnés dans le cahier des charges.</w:t>
      </w:r>
    </w:p>
    <w:p w14:paraId="5CFBC1F8" w14:textId="7B867C43">
      <w:pPr>
        <w:jc w:val="both"/>
        <w:rPr>
          <w:b/>
          <w:bCs/>
          <w:u w:val="single"/>
        </w:rPr>
        <w:pStyle w:val="P68B1DB1-Normal9"/>
      </w:pPr>
      <w:r>
        <w:t xml:space="preserve">Critères de sélection applicables individuellement aux entités concernées — évaluation individuelle</w:t>
      </w:r>
    </w:p>
    <w:p w14:paraId="78C15FF3" w14:textId="0676A81C">
      <w:pPr>
        <w:spacing w:before="120" w:after="120"/>
        <w:ind w:firstLine="1"/>
        <w:jc w:val="both"/>
        <w:rPr>
          <w:b/>
          <w:bCs/>
          <w:i/>
          <w:iCs/>
        </w:rPr>
        <w:pStyle w:val="P68B1DB1-Normal7"/>
      </w:pPr>
      <w:r>
        <w:t xml:space="preserve">(à remplir individuellement par les entités concernées auxquelles les critères de sélection s’appliquent individuellement conformément au cahier des charges)</w:t>
      </w:r>
    </w:p>
    <w:p w14:paraId="64745216" w14:textId="17979E7F">
      <w:pPr>
        <w:spacing w:before="120" w:after="120"/>
        <w:ind w:firstLine="1"/>
        <w:jc w:val="both"/>
        <w:rPr>
          <w:b/>
          <w:bCs/>
          <w:i/>
          <w:iCs/>
        </w:rPr>
      </w:pPr>
      <w:r>
        <w:t xml:space="preserve">La personne qui, en tant que candidat/soumissionnaire unique/membre d’une demande de participation conjointe/d’une offre conjointe, soumettant une demande de participation/offre dans le cadre de la procédure susmentionnée ou prenant part à celle-ci:</w:t>
      </w: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4"/>
        <w:gridCol w:w="704"/>
        <w:gridCol w:w="608"/>
        <w:gridCol w:w="630"/>
      </w:tblGrid>
      <w:tr w14:paraId="4C5D7034" w14:textId="77777777">
        <w:tc>
          <w:tcPr>
            <w:tcW w:w="7344" w:type="dxa"/>
          </w:tcPr>
          <w:p w14:paraId="66242635" w14:textId="50DF55FA">
            <w:pPr>
              <w:spacing w:before="120" w:after="120"/>
              <w:ind w:firstLine="1"/>
              <w:jc w:val="both"/>
              <w:rPr>
                <w:b/>
                <w:bCs/>
                <w:i/>
                <w:iCs/>
              </w:rPr>
            </w:pPr>
            <w:r>
              <w:t xml:space="preserve">(7) déclare que la personne satisfait aux critères de sélection qui lui sont applicables à titre individuel:</w:t>
            </w:r>
          </w:p>
        </w:tc>
        <w:tc>
          <w:tcPr>
            <w:tcW w:w="704" w:type="dxa"/>
          </w:tcPr>
          <w:p w14:paraId="13DAA78F" w14:textId="77777777">
            <w:pPr>
              <w:spacing w:before="240" w:after="120"/>
              <w:jc w:val="center"/>
            </w:pPr>
            <w:r>
              <w:t>OUI</w:t>
            </w:r>
          </w:p>
        </w:tc>
        <w:tc>
          <w:tcPr>
            <w:tcW w:w="608" w:type="dxa"/>
          </w:tcPr>
          <w:p w14:paraId="465AC66E" w14:textId="77777777">
            <w:pPr>
              <w:spacing w:before="240" w:after="120"/>
              <w:jc w:val="center"/>
            </w:pPr>
            <w:r>
              <w:t>NON</w:t>
            </w:r>
          </w:p>
        </w:tc>
        <w:tc>
          <w:tcPr>
            <w:tcW w:w="630" w:type="dxa"/>
          </w:tcPr>
          <w:p w14:paraId="237B4D9E" w14:textId="77777777">
            <w:pPr>
              <w:spacing w:before="240" w:after="120"/>
              <w:jc w:val="center"/>
            </w:pPr>
            <w:r>
              <w:t xml:space="preserve">SANS OBJET.</w:t>
            </w:r>
          </w:p>
        </w:tc>
      </w:tr>
      <w:tr w14:paraId="5B12A280" w14:textId="77777777">
        <w:tc>
          <w:tcPr>
            <w:tcW w:w="7344" w:type="dxa"/>
          </w:tcPr>
          <w:p w14:paraId="37A65182" w14:textId="19B7E4FC">
            <w:pPr>
              <w:pStyle w:val="Text1"/>
              <w:numPr>
                <w:ilvl w:val="0"/>
                <w:numId w:val="47"/>
              </w:numPr>
              <w:spacing w:before="40" w:after="40"/>
            </w:pPr>
            <w:r>
              <w:t xml:space="preserve">a la capacité d’exercer l’activité professionnelle d’un point de vue légal et réglementaire, nécessaire à l’exécution du marché, conformément au cahier des charges (3.2.1.);</w:t>
            </w:r>
          </w:p>
        </w:tc>
        <w:tc>
          <w:tcPr>
            <w:tcW w:w="704" w:type="dxa"/>
          </w:tcPr>
          <w:p w14:paraId="0291C12C"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608" w:type="dxa"/>
          </w:tcPr>
          <w:p w14:paraId="2CAC5967"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630" w:type="dxa"/>
          </w:tcPr>
          <w:p w14:paraId="6AEE8289"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1FD24AF9" w14:textId="77777777">
        <w:tc>
          <w:tcPr>
            <w:tcW w:w="7344" w:type="dxa"/>
          </w:tcPr>
          <w:p w14:paraId="74F0F585" w14:textId="704F7A3D">
            <w:pPr>
              <w:pStyle w:val="Text1"/>
              <w:numPr>
                <w:ilvl w:val="0"/>
                <w:numId w:val="47"/>
              </w:numPr>
              <w:spacing w:before="40" w:after="40"/>
            </w:pPr>
            <w:r>
              <w:t xml:space="preserve">remplit les critères économiques et financiers applicables, mentionnés dans le cahier des charges (3.2.2);</w:t>
            </w:r>
          </w:p>
        </w:tc>
        <w:tc>
          <w:tcPr>
            <w:tcW w:w="704" w:type="dxa"/>
          </w:tcPr>
          <w:p w14:paraId="5B07D42B"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608" w:type="dxa"/>
          </w:tcPr>
          <w:p w14:paraId="56636257"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630" w:type="dxa"/>
          </w:tcPr>
          <w:p w14:paraId="3DC092F3"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r w14:paraId="1A0954B6" w14:textId="77777777">
        <w:tc>
          <w:tcPr>
            <w:tcW w:w="7344" w:type="dxa"/>
          </w:tcPr>
          <w:p w14:paraId="6192EC00" w14:textId="405CCD8A">
            <w:pPr>
              <w:pStyle w:val="Text1"/>
              <w:numPr>
                <w:ilvl w:val="0"/>
                <w:numId w:val="47"/>
              </w:numPr>
              <w:spacing w:before="40" w:after="40"/>
            </w:pPr>
            <w:r>
              <w:t xml:space="preserve">remplit les critères techniques et professionnels applicables, mentionnés dans le cahier des charges (3.2.3).</w:t>
            </w:r>
          </w:p>
        </w:tc>
        <w:tc>
          <w:tcPr>
            <w:tcW w:w="704" w:type="dxa"/>
          </w:tcPr>
          <w:p w14:paraId="5C74A905"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608" w:type="dxa"/>
          </w:tcPr>
          <w:p w14:paraId="028509AD"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630" w:type="dxa"/>
          </w:tcPr>
          <w:p w14:paraId="44D0D1B1"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bl>
    <w:p w14:paraId="7F200ED7" w14:textId="02A6270A">
      <w:pPr>
        <w:spacing w:before="100" w:beforeAutospacing="1" w:after="100" w:afterAutospacing="1"/>
        <w:jc w:val="both"/>
        <w:rPr>
          <w:rFonts w:ascii="Times New Roman Bold" w:hAnsi="Times New Roman Bold"/>
          <w:b/>
          <w:bCs/>
          <w:smallCaps/>
          <w:kern w:val="28"/>
          <w:szCs w:val="32"/>
        </w:rPr>
        <w:pStyle w:val="P68B1DB1-Normal11"/>
      </w:pPr>
      <w:r>
        <w:t xml:space="preserve">II) Critères de sélection — Intérêts à caractère professionnel contradictoires </w:t>
      </w:r>
    </w:p>
    <w:p w14:paraId="6D4253AB" w14:textId="6F28DDE5">
      <w:pPr>
        <w:spacing w:before="120" w:after="120"/>
        <w:ind w:firstLine="1"/>
        <w:rPr>
          <w:b/>
          <w:bCs/>
          <w:i/>
          <w:iCs/>
        </w:rPr>
        <w:pStyle w:val="P68B1DB1-Normal7"/>
      </w:pPr>
      <w:r>
        <w:t xml:space="preserve">(à remplir par toutes les entités associées)</w:t>
      </w:r>
    </w:p>
    <w:p w14:paraId="4E52E5EC" w14:textId="6CF73761">
      <w:pPr>
        <w:jc w:val="both"/>
        <w:rPr>
          <w:b/>
          <w:bCs/>
          <w:u w:val="single"/>
        </w:rPr>
      </w:pPr>
      <w:r>
        <w:t xml:space="preserve">La personne qui, en tant que candidat/soumissionnaire unique/membre d’une demande de participation conjointe/d’une offre conjointe, soumettant une demande de participation/offre dans le cadre de la procédure susmentionnée ou prenant part à celle-ci:</w:t>
      </w:r>
    </w:p>
    <w:p w14:paraId="0A9EA582" w14:textId="77777777">
      <w:pPr>
        <w:jc w:val="both"/>
        <w:rPr>
          <w:b/>
          <w:bCs/>
          <w:u w:val="single"/>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9"/>
        <w:gridCol w:w="951"/>
        <w:gridCol w:w="992"/>
      </w:tblGrid>
      <w:tr w14:paraId="686951BD" w14:textId="77777777">
        <w:tc>
          <w:tcPr>
            <w:tcW w:w="7379" w:type="dxa"/>
            <w:tcBorders>
              <w:top w:val="single" w:sz="4" w:space="0" w:color="auto"/>
              <w:left w:val="single" w:sz="4" w:space="0" w:color="auto"/>
              <w:bottom w:val="single" w:sz="4" w:space="0" w:color="auto"/>
              <w:right w:val="single" w:sz="4" w:space="0" w:color="auto"/>
            </w:tcBorders>
            <w:hideMark/>
          </w:tcPr>
          <w:p w14:paraId="72049991" w14:textId="2B710EF4">
            <w:pPr>
              <w:spacing w:before="120" w:after="120"/>
              <w:jc w:val="both"/>
            </w:pPr>
            <w:r>
              <w:t xml:space="preserve">(8) déclare que la personne </w:t>
            </w:r>
          </w:p>
        </w:tc>
        <w:tc>
          <w:tcPr>
            <w:tcW w:w="951" w:type="dxa"/>
            <w:tcBorders>
              <w:top w:val="single" w:sz="4" w:space="0" w:color="auto"/>
              <w:left w:val="single" w:sz="4" w:space="0" w:color="auto"/>
              <w:bottom w:val="single" w:sz="4" w:space="0" w:color="auto"/>
              <w:right w:val="single" w:sz="4" w:space="0" w:color="auto"/>
            </w:tcBorders>
            <w:hideMark/>
          </w:tcPr>
          <w:p w14:paraId="358441F1" w14:textId="77777777">
            <w:pPr>
              <w:spacing w:before="240" w:after="120"/>
              <w:jc w:val="center"/>
            </w:pPr>
            <w:r>
              <w:t>OUI</w:t>
            </w:r>
          </w:p>
        </w:tc>
        <w:tc>
          <w:tcPr>
            <w:tcW w:w="992" w:type="dxa"/>
            <w:tcBorders>
              <w:top w:val="single" w:sz="4" w:space="0" w:color="auto"/>
              <w:left w:val="single" w:sz="4" w:space="0" w:color="auto"/>
              <w:bottom w:val="single" w:sz="4" w:space="0" w:color="auto"/>
              <w:right w:val="single" w:sz="4" w:space="0" w:color="auto"/>
            </w:tcBorders>
            <w:hideMark/>
          </w:tcPr>
          <w:p w14:paraId="2DE2948B" w14:textId="77777777">
            <w:pPr>
              <w:spacing w:before="240" w:after="120"/>
              <w:jc w:val="center"/>
            </w:pPr>
            <w:r>
              <w:t>NON</w:t>
            </w:r>
          </w:p>
        </w:tc>
      </w:tr>
      <w:tr w14:paraId="54E58232" w14:textId="77777777">
        <w:tc>
          <w:tcPr>
            <w:tcW w:w="7379" w:type="dxa"/>
            <w:tcBorders>
              <w:top w:val="single" w:sz="4" w:space="0" w:color="auto"/>
              <w:left w:val="single" w:sz="4" w:space="0" w:color="auto"/>
              <w:bottom w:val="single" w:sz="4" w:space="0" w:color="auto"/>
              <w:right w:val="single" w:sz="4" w:space="0" w:color="auto"/>
            </w:tcBorders>
          </w:tcPr>
          <w:p w14:paraId="7DA24651" w14:textId="505FF09B">
            <w:pPr>
              <w:pStyle w:val="Text1"/>
              <w:numPr>
                <w:ilvl w:val="0"/>
                <w:numId w:val="48"/>
              </w:numPr>
              <w:spacing w:before="40" w:after="40"/>
            </w:pPr>
            <w:r>
              <w:t xml:space="preserve">fait l’objet d’un conflit d’intérêts susceptible d’avoir une incidence négative sur l’exécution du marché.</w:t>
            </w:r>
          </w:p>
        </w:tc>
        <w:tc>
          <w:tcPr>
            <w:tcW w:w="951" w:type="dxa"/>
            <w:tcBorders>
              <w:top w:val="single" w:sz="4" w:space="0" w:color="auto"/>
              <w:left w:val="single" w:sz="4" w:space="0" w:color="auto"/>
              <w:bottom w:val="single" w:sz="4" w:space="0" w:color="auto"/>
              <w:right w:val="single" w:sz="4" w:space="0" w:color="auto"/>
            </w:tcBorders>
          </w:tcPr>
          <w:p w14:paraId="55708F74" w14:textId="77777777">
            <w:pPr>
              <w:pStyle w:val="Text1"/>
              <w:spacing w:before="40" w:after="40"/>
              <w:ind w:left="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992" w:type="dxa"/>
            <w:tcBorders>
              <w:top w:val="single" w:sz="4" w:space="0" w:color="auto"/>
              <w:left w:val="single" w:sz="4" w:space="0" w:color="auto"/>
              <w:bottom w:val="single" w:sz="4" w:space="0" w:color="auto"/>
              <w:right w:val="single" w:sz="4" w:space="0" w:color="auto"/>
            </w:tcBorders>
          </w:tcPr>
          <w:p w14:paraId="5A3C430F" w14:textId="77777777">
            <w:pPr>
              <w:pStyle w:val="Text1"/>
              <w:spacing w:before="40" w:after="40"/>
              <w:ind w:left="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bl>
    <w:p w14:paraId="790CAC98" w14:textId="130FE33D">
      <w:pPr>
        <w:pStyle w:val="Title"/>
      </w:pPr>
      <w:r>
        <w:t xml:space="preserve">III — Pièces justificatives relatives aux critères de sélection </w:t>
      </w:r>
    </w:p>
    <w:p w14:paraId="6C38D641" w14:textId="3F0D33E7">
      <w:pPr>
        <w:spacing w:before="100" w:beforeAutospacing="1" w:after="100" w:afterAutospacing="1"/>
        <w:jc w:val="both"/>
      </w:pPr>
      <w:r>
        <w:t xml:space="preserve">Le cahier des charges précise en détail quelles pièces justificatives doivent être fournies, à quel moment et par quelle entité associée pour démontrer que le candidat/soumissionnaire remplit les critères de sélection.</w:t>
      </w:r>
    </w:p>
    <w:p w14:paraId="1699FA0D" w14:textId="0C53EE83">
      <w:pPr>
        <w:spacing w:before="100" w:beforeAutospacing="1" w:after="100" w:afterAutospacing="1"/>
        <w:jc w:val="both"/>
      </w:pPr>
      <w:r>
        <w:t xml:space="preserve">Lorsque les pièces justificatives ne doivent pas accompagner la demande de participation/l’offre, la personne est invitée à préparer les documents relatifs aux pièces justificatives, étant donné que le pouvoir adjudicateur peut demander que lesdits documents lui soient communiqués dans un délai réduit. </w:t>
      </w:r>
    </w:p>
    <w:p w14:paraId="1279E35F" w14:textId="2584B0D8">
      <w:pPr>
        <w:spacing w:before="100" w:beforeAutospacing="1" w:after="100" w:afterAutospacing="1"/>
        <w:jc w:val="both"/>
      </w:pPr>
      <w:r>
        <w:t xml:space="preserve">La personne n’est pas tenue de fournir les pièces justificatives si elle les a déjà présentées aux fins d’une autre procédure de passation de marché du même pouvoir adjudicateur</w:t>
      </w:r>
      <w:r>
        <w:rPr>
          <w:rStyle w:val="FootnoteReference"/>
        </w:rPr>
        <w:footnoteReference w:id="6"/>
      </w:r>
      <w:r>
        <w:t xml:space="preserve"> et si les documents en question sont toujours d’actualité.</w:t>
      </w:r>
    </w:p>
    <w:p w14:paraId="0FBE3FFA" w14:textId="51DD42D5">
      <w:pPr>
        <w:spacing w:before="100" w:beforeAutospacing="1" w:after="100" w:afterAutospacing="1"/>
        <w:jc w:val="both"/>
      </w:pPr>
      <w:r>
        <w:t xml:space="preserve">Le signataire déclare que la personne a déjà fourni les preuves documentaires aux fins d’une précédente procédure et confirme qu’aucun changement n’est intervenu dans sa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14:paraId="09497FED" w14:textId="77777777">
        <w:tc>
          <w:tcPr>
            <w:tcW w:w="4786" w:type="dxa"/>
          </w:tcPr>
          <w:p w14:paraId="10A913E5" w14:textId="77777777">
            <w:pPr>
              <w:spacing w:before="100" w:beforeAutospacing="1" w:after="100" w:afterAutospacing="1"/>
              <w:jc w:val="center"/>
              <w:rPr>
                <w:b/>
                <w:bCs/>
                <w:sz w:val="22"/>
                <w:szCs w:val="22"/>
              </w:rPr>
              <w:pStyle w:val="P68B1DB1-Normal4"/>
            </w:pPr>
            <w:r>
              <w:t>Document</w:t>
            </w:r>
          </w:p>
        </w:tc>
        <w:tc>
          <w:tcPr>
            <w:tcW w:w="4678" w:type="dxa"/>
          </w:tcPr>
          <w:p w14:paraId="416CE2E7" w14:textId="77777777">
            <w:pPr>
              <w:spacing w:before="100" w:beforeAutospacing="1" w:after="100" w:afterAutospacing="1"/>
              <w:jc w:val="center"/>
              <w:rPr>
                <w:b/>
                <w:bCs/>
                <w:sz w:val="22"/>
                <w:szCs w:val="22"/>
              </w:rPr>
              <w:pStyle w:val="P68B1DB1-Normal4"/>
            </w:pPr>
            <w:r>
              <w:t xml:space="preserve">Référence complète de la précédente procédure</w:t>
            </w:r>
          </w:p>
        </w:tc>
      </w:tr>
      <w:tr w14:paraId="28701422" w14:textId="77777777">
        <w:tc>
          <w:tcPr>
            <w:tcW w:w="4786" w:type="dxa"/>
          </w:tcPr>
          <w:p w14:paraId="63BD6FED" w14:textId="77777777">
            <w:pPr>
              <w:spacing w:before="100" w:beforeAutospacing="1" w:after="100" w:afterAutospacing="1"/>
              <w:pStyle w:val="P68B1DB1-Normal3"/>
            </w:pPr>
            <w:r>
              <w:t xml:space="preserve">Insérer autant de lignes que nécessaire.</w:t>
            </w:r>
          </w:p>
        </w:tc>
        <w:tc>
          <w:tcPr>
            <w:tcW w:w="4678" w:type="dxa"/>
          </w:tcPr>
          <w:p w14:paraId="757BC637" w14:textId="77777777">
            <w:pPr>
              <w:spacing w:before="100" w:beforeAutospacing="1" w:after="100" w:afterAutospacing="1"/>
            </w:pPr>
          </w:p>
        </w:tc>
      </w:tr>
    </w:tbl>
    <w:p w14:paraId="4BF7FC99" w14:textId="77777777">
      <w:pPr>
        <w:spacing w:before="100" w:beforeAutospacing="1" w:after="100" w:afterAutospacing="1"/>
        <w:jc w:val="both"/>
      </w:pPr>
      <w:r>
        <w:t xml:space="preserve">La personne n’est pas tenue de fournir les justificatifs si ceux-ci peuvent être consultés sans frais dans une base de données nationale. </w:t>
      </w:r>
    </w:p>
    <w:p w14:paraId="03A26509" w14:textId="77777777">
      <w:pPr>
        <w:spacing w:before="100" w:beforeAutospacing="1" w:after="100" w:afterAutospacing="1"/>
        <w:jc w:val="both"/>
      </w:pPr>
      <w:r>
        <w:t xml:space="preserve">Le signataire déclare que l’adresse internet de la base de données/les données d’identification ci-après donne (nt) accès aux justificatifs demandés.</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14:paraId="7AAC25A1" w14:textId="77777777">
        <w:tc>
          <w:tcPr>
            <w:tcW w:w="4786" w:type="dxa"/>
          </w:tcPr>
          <w:p w14:paraId="080AB4FB" w14:textId="77777777">
            <w:pPr>
              <w:spacing w:before="100" w:beforeAutospacing="1" w:after="100" w:afterAutospacing="1"/>
              <w:jc w:val="center"/>
              <w:rPr>
                <w:b/>
                <w:bCs/>
                <w:sz w:val="22"/>
                <w:szCs w:val="22"/>
              </w:rPr>
            </w:pPr>
            <w:r>
              <w:t xml:space="preserve">Adresse internet de la base de données</w:t>
            </w:r>
          </w:p>
        </w:tc>
        <w:tc>
          <w:tcPr>
            <w:tcW w:w="4678" w:type="dxa"/>
          </w:tcPr>
          <w:p w14:paraId="1DCDC931" w14:textId="77777777">
            <w:pPr>
              <w:spacing w:before="100" w:beforeAutospacing="1" w:after="100" w:afterAutospacing="1"/>
              <w:jc w:val="center"/>
              <w:rPr>
                <w:b/>
                <w:bCs/>
                <w:sz w:val="22"/>
                <w:szCs w:val="22"/>
              </w:rPr>
            </w:pPr>
            <w:r>
              <w:t xml:space="preserve">Données d’identification du document </w:t>
            </w:r>
          </w:p>
        </w:tc>
      </w:tr>
      <w:tr w14:paraId="12BE2EA6" w14:textId="77777777">
        <w:tc>
          <w:tcPr>
            <w:tcW w:w="4786" w:type="dxa"/>
          </w:tcPr>
          <w:p w14:paraId="392C809C" w14:textId="77777777">
            <w:pPr>
              <w:spacing w:before="100" w:beforeAutospacing="1" w:after="100" w:afterAutospacing="1"/>
              <w:pStyle w:val="P68B1DB1-Normal3"/>
            </w:pPr>
            <w:r>
              <w:t xml:space="preserve">Insérer autant de lignes que nécessaire.</w:t>
            </w:r>
          </w:p>
        </w:tc>
        <w:tc>
          <w:tcPr>
            <w:tcW w:w="4678" w:type="dxa"/>
          </w:tcPr>
          <w:p w14:paraId="7B4EA288" w14:textId="77777777">
            <w:pPr>
              <w:spacing w:before="100" w:beforeAutospacing="1" w:after="100" w:afterAutospacing="1"/>
            </w:pPr>
          </w:p>
        </w:tc>
      </w:tr>
    </w:tbl>
    <w:p w14:paraId="6DC8BDFA" w14:textId="1EF027BE">
      <w:pPr>
        <w:pStyle w:val="Title"/>
        <w:numPr>
          <w:ilvl w:val="0"/>
          <w:numId w:val="30"/>
        </w:numPr>
        <w:ind w:left="567" w:hanging="567"/>
        <w:jc w:val="both"/>
      </w:pPr>
      <w:r>
        <w:t xml:space="preserve">Déclaration sur l’honneur relative aux mesures restrictives</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9"/>
        <w:gridCol w:w="951"/>
        <w:gridCol w:w="992"/>
      </w:tblGrid>
      <w:tr w14:paraId="3DC7322F" w14:textId="77777777">
        <w:tc>
          <w:tcPr>
            <w:tcW w:w="7379" w:type="dxa"/>
            <w:tcBorders>
              <w:top w:val="single" w:sz="4" w:space="0" w:color="auto"/>
              <w:left w:val="single" w:sz="4" w:space="0" w:color="auto"/>
              <w:bottom w:val="single" w:sz="4" w:space="0" w:color="auto"/>
              <w:right w:val="single" w:sz="4" w:space="0" w:color="auto"/>
            </w:tcBorders>
            <w:hideMark/>
          </w:tcPr>
          <w:p w14:paraId="6664A3EB" w14:textId="6B8B1526">
            <w:pPr>
              <w:jc w:val="both"/>
            </w:pPr>
            <w:r>
              <w:t xml:space="preserve">(9) déclare que le candidat/soumissionnaire, y compris tous les membres du groupement en cas de demande de participation/d’offre conjointe, les sous-traitants et les entités sur la capacité desquelles le candidat/soumissionnaire compte s’appuyer;</w:t>
            </w:r>
          </w:p>
          <w:p w14:paraId="2F4B8612" w14:textId="4E0AD68E">
            <w:pPr>
              <w:jc w:val="both"/>
            </w:pPr>
          </w:p>
        </w:tc>
        <w:tc>
          <w:tcPr>
            <w:tcW w:w="951" w:type="dxa"/>
            <w:tcBorders>
              <w:top w:val="single" w:sz="4" w:space="0" w:color="auto"/>
              <w:left w:val="single" w:sz="4" w:space="0" w:color="auto"/>
              <w:bottom w:val="single" w:sz="4" w:space="0" w:color="auto"/>
              <w:right w:val="single" w:sz="4" w:space="0" w:color="auto"/>
            </w:tcBorders>
            <w:hideMark/>
          </w:tcPr>
          <w:p w14:paraId="7F632F5C" w14:textId="77777777">
            <w:r>
              <w:t>OUI</w:t>
            </w:r>
          </w:p>
        </w:tc>
        <w:tc>
          <w:tcPr>
            <w:tcW w:w="992" w:type="dxa"/>
            <w:tcBorders>
              <w:top w:val="single" w:sz="4" w:space="0" w:color="auto"/>
              <w:left w:val="single" w:sz="4" w:space="0" w:color="auto"/>
              <w:bottom w:val="single" w:sz="4" w:space="0" w:color="auto"/>
              <w:right w:val="single" w:sz="4" w:space="0" w:color="auto"/>
            </w:tcBorders>
            <w:hideMark/>
          </w:tcPr>
          <w:p w14:paraId="1B1CDFEC" w14:textId="77777777">
            <w:r>
              <w:t>NON</w:t>
            </w:r>
          </w:p>
        </w:tc>
      </w:tr>
      <w:tr w14:paraId="360E0C62" w14:textId="77777777">
        <w:tc>
          <w:tcPr>
            <w:tcW w:w="7379" w:type="dxa"/>
            <w:tcBorders>
              <w:top w:val="single" w:sz="4" w:space="0" w:color="auto"/>
              <w:left w:val="single" w:sz="4" w:space="0" w:color="auto"/>
              <w:bottom w:val="single" w:sz="4" w:space="0" w:color="auto"/>
              <w:right w:val="single" w:sz="4" w:space="0" w:color="auto"/>
            </w:tcBorders>
            <w:hideMark/>
          </w:tcPr>
          <w:p w14:paraId="672273BE" w14:textId="77777777">
            <w:pPr>
              <w:jc w:val="both"/>
            </w:pPr>
            <w:bookmarkStart w:id="31" w:name="_Hlk213685162"/>
            <w:r>
              <w:t xml:space="preserve">(a) ne font pas l’objet de </w:t>
            </w:r>
            <w:hyperlink r:id="rId12" w:history="1">
              <w:r>
                <w:rPr>
                  <w:rStyle w:val="Hyperlink"/>
                </w:rPr>
                <w:t xml:space="preserve">mesures restrictives de l’UE</w:t>
              </w:r>
            </w:hyperlink>
            <w:r>
              <w:t xml:space="preserve"> adoptées en vertu de l’article 29 du traité sur l’Union européenne (TUE) ou de l’article 215 du traité sur le fonctionnement de l’UE (</w:t>
              <w:footnoteReference w:id="7"/>
              <w:t xml:space="preserve">TFUE), consistant en une interdiction de mettre à leur disposition ou de transférer des fonds ou des ressources économiques ou de leur fournir un financement ou une aide financière, directement ou indirectement, ou en un gel des avoirs. </w:t>
            </w:r>
            <w:bookmarkEnd w:id="31"/>
          </w:p>
          <w:p w14:paraId="1DDCF990" w14:textId="5CBBB24E">
            <w:pPr>
              <w:jc w:val="both"/>
              <w:rPr>
                <w:highlight w:val="green"/>
              </w:rPr>
            </w:pPr>
          </w:p>
        </w:tc>
        <w:tc>
          <w:tcPr>
            <w:tcW w:w="951" w:type="dxa"/>
            <w:tcBorders>
              <w:top w:val="single" w:sz="4" w:space="0" w:color="auto"/>
              <w:left w:val="single" w:sz="4" w:space="0" w:color="auto"/>
              <w:bottom w:val="single" w:sz="4" w:space="0" w:color="auto"/>
              <w:right w:val="single" w:sz="4" w:space="0" w:color="auto"/>
            </w:tcBorders>
            <w:hideMark/>
          </w:tcPr>
          <w:p w14:paraId="415EBD8A" w14:textId="77777777">
            <w:r>
              <w:fldChar w:fldCharType="begin">
                <w:ffData>
                  <w:name w:val="Check1"/>
                  <w:enabled/>
                  <w:calcOnExit w:val="0"/>
                  <w:checkBox>
                    <w:sizeAuto/>
                    <w:default w:val="0"/>
                  </w:checkBox>
                </w:ffData>
              </w:fldChar>
            </w:r>
            <w:r>
              <w:instrText xml:space="preserve"> FORMCHECKBOX </w:instrText>
            </w:r>
            <w:r>
              <w:fldChar w:fldCharType="separate"/>
            </w:r>
            <w:r>
              <w:fldChar w:fldCharType="end"/>
            </w:r>
          </w:p>
        </w:tc>
        <w:tc>
          <w:tcPr>
            <w:tcW w:w="992" w:type="dxa"/>
            <w:tcBorders>
              <w:top w:val="single" w:sz="4" w:space="0" w:color="auto"/>
              <w:left w:val="single" w:sz="4" w:space="0" w:color="auto"/>
              <w:bottom w:val="single" w:sz="4" w:space="0" w:color="auto"/>
              <w:right w:val="single" w:sz="4" w:space="0" w:color="auto"/>
            </w:tcBorders>
            <w:hideMark/>
          </w:tcPr>
          <w:p w14:paraId="6A9A21C2" w14:textId="77777777">
            <w:r>
              <w:fldChar w:fldCharType="begin">
                <w:ffData>
                  <w:name w:val="Check1"/>
                  <w:enabled/>
                  <w:calcOnExit w:val="0"/>
                  <w:checkBox>
                    <w:sizeAuto/>
                    <w:default w:val="0"/>
                  </w:checkBox>
                </w:ffData>
              </w:fldChar>
            </w:r>
            <w:r>
              <w:instrText xml:space="preserve"> FORMCHECKBOX </w:instrText>
            </w:r>
            <w:r>
              <w:fldChar w:fldCharType="separate"/>
            </w:r>
            <w:r>
              <w:fldChar w:fldCharType="end"/>
            </w:r>
          </w:p>
        </w:tc>
      </w:tr>
      <w:tr w14:paraId="5E4C5DF7" w14:textId="77777777">
        <w:tc>
          <w:tcPr>
            <w:tcW w:w="7379" w:type="dxa"/>
            <w:tcBorders>
              <w:top w:val="single" w:sz="4" w:space="0" w:color="auto"/>
              <w:left w:val="single" w:sz="4" w:space="0" w:color="auto"/>
              <w:bottom w:val="single" w:sz="4" w:space="0" w:color="auto"/>
              <w:right w:val="single" w:sz="4" w:space="0" w:color="auto"/>
            </w:tcBorders>
            <w:hideMark/>
          </w:tcPr>
          <w:p w14:paraId="538D7ADA" w14:textId="23C1C9D4">
            <w:pPr>
              <w:jc w:val="both"/>
            </w:pPr>
            <w:bookmarkStart w:id="32" w:name="_Hlk203596381"/>
            <w:r>
              <w:t xml:space="preserve">(10) déclare qu’une personne physique ou morale qui est membre de l’organe d’administration, de direction ou de surveillance de la personne ou qui possède des pouvoirs de représentation, de décision ou de contrôle à l’égard de la personne (à savoir, par exemple, les chefs d’entreprise, les membres des organes de direction ou de surveillance et les personnes physiques ou morales détenant, à titre individuel, la majorité des parts), ou un bénéficiaire effectif de la personne [au sens de l’article 3, point 6), de la directive (UE) 2015/849] se trouve dans l’une des situations suivantes:</w:t>
            </w:r>
          </w:p>
          <w:p w14:paraId="75AEDFA6" w14:textId="77777777">
            <w:pPr>
              <w:jc w:val="both"/>
            </w:pPr>
          </w:p>
        </w:tc>
        <w:tc>
          <w:tcPr>
            <w:tcW w:w="951" w:type="dxa"/>
            <w:tcBorders>
              <w:top w:val="single" w:sz="4" w:space="0" w:color="auto"/>
              <w:left w:val="single" w:sz="4" w:space="0" w:color="auto"/>
              <w:bottom w:val="single" w:sz="4" w:space="0" w:color="auto"/>
              <w:right w:val="single" w:sz="4" w:space="0" w:color="auto"/>
            </w:tcBorders>
            <w:hideMark/>
          </w:tcPr>
          <w:p w14:paraId="50C6D711" w14:textId="77777777">
            <w:r>
              <w:t>OUI</w:t>
            </w:r>
          </w:p>
        </w:tc>
        <w:tc>
          <w:tcPr>
            <w:tcW w:w="992" w:type="dxa"/>
            <w:tcBorders>
              <w:top w:val="single" w:sz="4" w:space="0" w:color="auto"/>
              <w:left w:val="single" w:sz="4" w:space="0" w:color="auto"/>
              <w:bottom w:val="single" w:sz="4" w:space="0" w:color="auto"/>
              <w:right w:val="single" w:sz="4" w:space="0" w:color="auto"/>
            </w:tcBorders>
            <w:hideMark/>
          </w:tcPr>
          <w:p w14:paraId="77359970" w14:textId="77777777">
            <w:r>
              <w:t>NON</w:t>
            </w:r>
          </w:p>
        </w:tc>
      </w:tr>
      <w:tr w14:paraId="6B948935" w14:textId="77777777">
        <w:tc>
          <w:tcPr>
            <w:tcW w:w="7379" w:type="dxa"/>
            <w:tcBorders>
              <w:top w:val="single" w:sz="4" w:space="0" w:color="auto"/>
              <w:left w:val="single" w:sz="4" w:space="0" w:color="auto"/>
              <w:bottom w:val="single" w:sz="4" w:space="0" w:color="auto"/>
              <w:right w:val="single" w:sz="4" w:space="0" w:color="auto"/>
            </w:tcBorders>
            <w:hideMark/>
          </w:tcPr>
          <w:p w14:paraId="32BDA55F" w14:textId="77777777">
            <w:pPr>
              <w:jc w:val="both"/>
            </w:pPr>
            <w:r>
              <w:t xml:space="preserve">(a) ne font pas l’objet de </w:t>
            </w:r>
            <w:hyperlink r:id="rId13" w:history="1">
              <w:r>
                <w:rPr>
                  <w:rStyle w:val="Hyperlink"/>
                </w:rPr>
                <w:t xml:space="preserve">mesures restrictives de l’UE</w:t>
              </w:r>
            </w:hyperlink>
            <w:r>
              <w:t xml:space="preserve"> adoptées en vertu de l’article 29 du traité sur l’Union européenne (TUE) ou de l’article 215 du traité sur le fonctionnement de l’UE (</w:t>
              <w:footnoteReference w:id="8"/>
              <w:t xml:space="preserve">TFUE), consistant en une interdiction de mettre à leur disposition ou de transférer des fonds ou des ressources économiques ou de leur fournir un financement ou une aide financière, directement ou indirectement, ou en un gel des avoirs. </w:t>
            </w:r>
          </w:p>
        </w:tc>
        <w:tc>
          <w:tcPr>
            <w:tcW w:w="951" w:type="dxa"/>
            <w:tcBorders>
              <w:top w:val="single" w:sz="4" w:space="0" w:color="auto"/>
              <w:left w:val="single" w:sz="4" w:space="0" w:color="auto"/>
              <w:bottom w:val="single" w:sz="4" w:space="0" w:color="auto"/>
              <w:right w:val="single" w:sz="4" w:space="0" w:color="auto"/>
            </w:tcBorders>
            <w:hideMark/>
          </w:tcPr>
          <w:p w14:paraId="307E02C8" w14:textId="77777777">
            <w:r>
              <w:fldChar w:fldCharType="begin">
                <w:ffData>
                  <w:name w:val="Check1"/>
                  <w:enabled/>
                  <w:calcOnExit w:val="0"/>
                  <w:checkBox>
                    <w:sizeAuto/>
                    <w:default w:val="0"/>
                  </w:checkBox>
                </w:ffData>
              </w:fldChar>
            </w:r>
            <w:r>
              <w:instrText xml:space="preserve"> FORMCHECKBOX </w:instrText>
            </w:r>
            <w:r>
              <w:fldChar w:fldCharType="separate"/>
            </w:r>
            <w:r>
              <w:fldChar w:fldCharType="end"/>
            </w:r>
          </w:p>
        </w:tc>
        <w:tc>
          <w:tcPr>
            <w:tcW w:w="992" w:type="dxa"/>
            <w:tcBorders>
              <w:top w:val="single" w:sz="4" w:space="0" w:color="auto"/>
              <w:left w:val="single" w:sz="4" w:space="0" w:color="auto"/>
              <w:bottom w:val="single" w:sz="4" w:space="0" w:color="auto"/>
              <w:right w:val="single" w:sz="4" w:space="0" w:color="auto"/>
            </w:tcBorders>
            <w:hideMark/>
          </w:tcPr>
          <w:p w14:paraId="6D3D8141" w14:textId="77777777">
            <w:r>
              <w:fldChar w:fldCharType="begin">
                <w:ffData>
                  <w:name w:val="Check1"/>
                  <w:enabled/>
                  <w:calcOnExit w:val="0"/>
                  <w:checkBox>
                    <w:sizeAuto/>
                    <w:default w:val="0"/>
                  </w:checkBox>
                </w:ffData>
              </w:fldChar>
            </w:r>
            <w:r>
              <w:instrText xml:space="preserve"> FORMCHECKBOX </w:instrText>
            </w:r>
            <w:r>
              <w:fldChar w:fldCharType="separate"/>
            </w:r>
            <w:r>
              <w:fldChar w:fldCharType="end"/>
            </w:r>
          </w:p>
        </w:tc>
      </w:tr>
    </w:tbl>
    <w:p w14:paraId="0A2970AE" w14:textId="1DCF7089">
      <w:pPr>
        <w:pStyle w:val="Title"/>
        <w:numPr>
          <w:ilvl w:val="0"/>
          <w:numId w:val="30"/>
        </w:numPr>
        <w:ind w:left="567" w:hanging="567"/>
        <w:jc w:val="both"/>
      </w:pPr>
      <w:r>
        <w:t xml:space="preserve">Déclaration sur l’honneur </w:t>
      </w:r>
      <w:bookmarkEnd w:id="32"/>
      <w:r>
        <w:t xml:space="preserve">concernant la dette constatée envers l’Union </w:t>
      </w:r>
    </w:p>
    <w:p w14:paraId="1DCBB562" w14:textId="03CF733F">
      <w:pPr>
        <w:spacing w:before="120" w:after="120"/>
        <w:jc w:val="both"/>
        <w:rPr>
          <w:b/>
          <w:bCs/>
          <w:i/>
          <w:iCs/>
        </w:rPr>
        <w:pStyle w:val="P68B1DB1-Normal7"/>
      </w:pPr>
      <w:r>
        <w:t xml:space="preserve"> (à remplir par le candidat/soumissionnaire unique ou par chaque membre du groupement en cas de demande de participation/d’offre conjointe)</w:t>
      </w:r>
    </w:p>
    <w:p w14:paraId="5915DC59" w14:textId="752F5BD7">
      <w:pPr>
        <w:jc w:val="both"/>
      </w:pPr>
      <w:r>
        <w:t xml:space="preserve">La personne qui, en tant que candidat/soumissionnaire unique/membre d’une demande de participation/d’offre conjointe, soumettant une demande de participation/offre dans le cadre de la procédure susmentionnée:</w:t>
      </w:r>
    </w:p>
    <w:p w14:paraId="14A59500" w14:textId="77777777">
      <w:pPr>
        <w:jc w:val="both"/>
        <w:rPr>
          <w:b/>
          <w:bCs/>
          <w:u w:val="single"/>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9"/>
        <w:gridCol w:w="951"/>
        <w:gridCol w:w="992"/>
      </w:tblGrid>
      <w:tr w14:paraId="38621178" w14:textId="77777777">
        <w:tc>
          <w:tcPr>
            <w:tcW w:w="7379" w:type="dxa"/>
            <w:tcBorders>
              <w:top w:val="single" w:sz="4" w:space="0" w:color="auto"/>
              <w:left w:val="single" w:sz="4" w:space="0" w:color="auto"/>
              <w:bottom w:val="single" w:sz="4" w:space="0" w:color="auto"/>
              <w:right w:val="single" w:sz="4" w:space="0" w:color="auto"/>
            </w:tcBorders>
            <w:hideMark/>
          </w:tcPr>
          <w:p w14:paraId="5CEFFAC7" w14:textId="0555194A">
            <w:pPr>
              <w:spacing w:before="120" w:after="120"/>
              <w:jc w:val="both"/>
            </w:pPr>
            <w:r>
              <w:t xml:space="preserve">(11) déclare que la personne</w:t>
            </w:r>
          </w:p>
        </w:tc>
        <w:tc>
          <w:tcPr>
            <w:tcW w:w="951" w:type="dxa"/>
            <w:tcBorders>
              <w:top w:val="single" w:sz="4" w:space="0" w:color="auto"/>
              <w:left w:val="single" w:sz="4" w:space="0" w:color="auto"/>
              <w:bottom w:val="single" w:sz="4" w:space="0" w:color="auto"/>
              <w:right w:val="single" w:sz="4" w:space="0" w:color="auto"/>
            </w:tcBorders>
            <w:hideMark/>
          </w:tcPr>
          <w:p w14:paraId="7D747CEE" w14:textId="77777777">
            <w:pPr>
              <w:spacing w:before="240" w:after="120"/>
              <w:jc w:val="center"/>
            </w:pPr>
            <w:r>
              <w:t>OUI</w:t>
            </w:r>
          </w:p>
        </w:tc>
        <w:tc>
          <w:tcPr>
            <w:tcW w:w="992" w:type="dxa"/>
            <w:tcBorders>
              <w:top w:val="single" w:sz="4" w:space="0" w:color="auto"/>
              <w:left w:val="single" w:sz="4" w:space="0" w:color="auto"/>
              <w:bottom w:val="single" w:sz="4" w:space="0" w:color="auto"/>
              <w:right w:val="single" w:sz="4" w:space="0" w:color="auto"/>
            </w:tcBorders>
            <w:hideMark/>
          </w:tcPr>
          <w:p w14:paraId="78E9B217" w14:textId="77777777">
            <w:pPr>
              <w:spacing w:before="240" w:after="120"/>
              <w:jc w:val="center"/>
            </w:pPr>
            <w:r>
              <w:t>NON</w:t>
            </w:r>
          </w:p>
        </w:tc>
      </w:tr>
      <w:tr w14:paraId="119AF60A" w14:textId="77777777">
        <w:tc>
          <w:tcPr>
            <w:tcW w:w="7379" w:type="dxa"/>
            <w:tcBorders>
              <w:top w:val="single" w:sz="4" w:space="0" w:color="auto"/>
              <w:left w:val="single" w:sz="4" w:space="0" w:color="auto"/>
              <w:bottom w:val="single" w:sz="4" w:space="0" w:color="auto"/>
              <w:right w:val="single" w:sz="4" w:space="0" w:color="auto"/>
            </w:tcBorders>
            <w:hideMark/>
          </w:tcPr>
          <w:p w14:paraId="2544FED7" w14:textId="320CDAB9">
            <w:pPr>
              <w:pStyle w:val="Text1"/>
              <w:spacing w:before="40" w:after="40"/>
              <w:ind w:left="0"/>
            </w:pPr>
            <w:r>
              <w:t xml:space="preserve">a) a une dette constatée à l’égard de l’Union, de la Communauté européenne de l’énergie atomique ou d’une agence exécutive lorsque celle-ci exécute le budget de l’Union.</w:t>
            </w:r>
          </w:p>
        </w:tc>
        <w:tc>
          <w:tcPr>
            <w:tcW w:w="951" w:type="dxa"/>
            <w:tcBorders>
              <w:top w:val="single" w:sz="4" w:space="0" w:color="auto"/>
              <w:left w:val="single" w:sz="4" w:space="0" w:color="auto"/>
              <w:bottom w:val="single" w:sz="4" w:space="0" w:color="auto"/>
              <w:right w:val="single" w:sz="4" w:space="0" w:color="auto"/>
            </w:tcBorders>
            <w:hideMark/>
          </w:tcPr>
          <w:p w14:paraId="62F13434" w14:textId="77777777">
            <w:pPr>
              <w:pStyle w:val="Text1"/>
              <w:spacing w:before="40" w:after="40"/>
              <w:ind w:left="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992" w:type="dxa"/>
            <w:tcBorders>
              <w:top w:val="single" w:sz="4" w:space="0" w:color="auto"/>
              <w:left w:val="single" w:sz="4" w:space="0" w:color="auto"/>
              <w:bottom w:val="single" w:sz="4" w:space="0" w:color="auto"/>
              <w:right w:val="single" w:sz="4" w:space="0" w:color="auto"/>
            </w:tcBorders>
            <w:hideMark/>
          </w:tcPr>
          <w:p w14:paraId="5A6C8E46" w14:textId="77777777">
            <w:pPr>
              <w:pStyle w:val="Text1"/>
              <w:spacing w:before="40" w:after="40"/>
              <w:ind w:left="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bl>
    <w:p w14:paraId="171E4AF4" w14:textId="20CC95AF">
      <w:pPr>
        <w:pStyle w:val="Title"/>
        <w:numPr>
          <w:ilvl w:val="0"/>
          <w:numId w:val="30"/>
        </w:numPr>
        <w:ind w:left="567" w:hanging="567"/>
        <w:jc w:val="both"/>
      </w:pPr>
      <w:r>
        <w:t xml:space="preserve">Déclaration sur l’honneur relative à l’offre soumise </w:t>
      </w:r>
    </w:p>
    <w:p w14:paraId="7D66B10A" w14:textId="0B06DCCD">
      <w:pPr>
        <w:spacing w:beforeAutospacing="1" w:afterAutospacing="1"/>
        <w:jc w:val="both"/>
        <w:rPr>
          <w:b/>
          <w:bCs/>
          <w:i/>
          <w:iCs/>
        </w:rPr>
        <w:pStyle w:val="P68B1DB1-Normal7"/>
      </w:pPr>
      <w:r>
        <w:t xml:space="preserve">(à remplir individuellement par le candidat/soumissionnaire unique ou par le chef du groupement en cas de demande de participation/d’offre conjointe)</w:t>
      </w:r>
    </w:p>
    <w:p w14:paraId="44652C08" w14:textId="3B2F458F">
      <w:pPr>
        <w:spacing w:beforeAutospacing="1" w:afterAutospacing="1"/>
        <w:jc w:val="both"/>
      </w:pPr>
      <w:r>
        <w:t xml:space="preserve">Si la procédure comporte des lots, les déclarations dans cette partie E s’appliquent au (x) lot (s) pour le (s) quel (s) la demande de participation/l’offre est soumise.</w:t>
      </w:r>
    </w:p>
    <w:tbl>
      <w:tblPr>
        <w:tblW w:w="9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7"/>
        <w:gridCol w:w="670"/>
        <w:gridCol w:w="759"/>
      </w:tblGrid>
      <w:tr w14:paraId="022E046F" w14:textId="77777777">
        <w:tc>
          <w:tcPr>
            <w:tcW w:w="8327" w:type="dxa"/>
          </w:tcPr>
          <w:p w14:paraId="09C4ACC7" w14:textId="254B5ABC">
            <w:pPr>
              <w:spacing w:before="120" w:after="120"/>
              <w:jc w:val="both"/>
            </w:pPr>
            <w:r>
              <w:t xml:space="preserve">(12) déclare que la personne:</w:t>
            </w:r>
          </w:p>
        </w:tc>
        <w:tc>
          <w:tcPr>
            <w:tcW w:w="670" w:type="dxa"/>
          </w:tcPr>
          <w:p w14:paraId="59250AC2" w14:textId="77777777">
            <w:pPr>
              <w:spacing w:before="240" w:after="120"/>
              <w:jc w:val="center"/>
            </w:pPr>
            <w:r>
              <w:t>OUI</w:t>
            </w:r>
          </w:p>
        </w:tc>
        <w:tc>
          <w:tcPr>
            <w:tcW w:w="759" w:type="dxa"/>
          </w:tcPr>
          <w:p w14:paraId="7D1AA4B7" w14:textId="77777777">
            <w:pPr>
              <w:spacing w:before="240" w:after="120"/>
              <w:jc w:val="center"/>
            </w:pPr>
            <w:r>
              <w:t>NON</w:t>
            </w:r>
          </w:p>
        </w:tc>
      </w:tr>
      <w:tr w14:paraId="787F342E" w14:textId="77777777">
        <w:tc>
          <w:tcPr>
            <w:tcW w:w="8327" w:type="dxa"/>
          </w:tcPr>
          <w:p w14:paraId="7975BFE1" w14:textId="706E36C7">
            <w:pPr>
              <w:pStyle w:val="Text1"/>
              <w:spacing w:before="40" w:after="40"/>
              <w:ind w:left="0"/>
            </w:pPr>
            <w:r>
              <w:t xml:space="preserve">a) </w:t>
            </w:r>
            <w:r>
              <w:rPr>
                <w:rFonts w:ascii="Arial" w:hAnsi="Arial" w:cs="Arial"/>
              </w:rPr>
              <w:t>[</w:t>
            </w:r>
            <w:r>
              <w:t xml:space="preserve">a préparé l’offre soumise</w:t>
            </w:r>
            <w:r>
              <w:rPr>
                <w:rFonts w:ascii="Arial" w:hAnsi="Arial" w:cs="Arial"/>
              </w:rPr>
              <w:t>]</w:t>
            </w:r>
            <w:r>
              <w:t xml:space="preserve"> </w:t>
            </w:r>
            <w:r>
              <w:rPr>
                <w:rFonts w:ascii="Arial" w:hAnsi="Arial" w:cs="Arial"/>
              </w:rPr>
              <w:t>[</w:t>
            </w:r>
            <w:r>
              <w:t xml:space="preserve">s’engage à préparer l’offre (si elle est invitée à soumettre une offre)</w:t>
            </w:r>
            <w:r>
              <w:rPr>
                <w:rFonts w:ascii="Arial" w:hAnsi="Arial" w:cs="Arial"/>
              </w:rPr>
              <w:t>]</w:t>
            </w:r>
            <w:r>
              <w:t xml:space="preserve"> en toute indépendance et de manière autonome par rapport aux autres offres soumises dans le cadre de la même procédure de passation de marché.</w:t>
            </w:r>
          </w:p>
        </w:tc>
        <w:tc>
          <w:tcPr>
            <w:tcW w:w="670" w:type="dxa"/>
          </w:tcPr>
          <w:p w14:paraId="354F15FF"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c>
          <w:tcPr>
            <w:tcW w:w="759" w:type="dxa"/>
          </w:tcPr>
          <w:p w14:paraId="360BA9D6" w14:textId="77777777">
            <w:pPr>
              <w:spacing w:before="240" w:after="120"/>
              <w:jc w:val="center"/>
            </w:pPr>
            <w:r>
              <w:fldChar w:fldCharType="begin">
                <w:ffData>
                  <w:name w:val="Check1"/>
                  <w:enabled/>
                  <w:calcOnExit w:val="0"/>
                  <w:checkBox>
                    <w:sizeAuto/>
                    <w:default w:val="0"/>
                  </w:checkBox>
                </w:ffData>
              </w:fldChar>
            </w:r>
            <w:r>
              <w:rPr/>
              <w:instrText xml:space="preserve"> FORMCHECKBOX </w:instrText>
            </w:r>
            <w:r>
              <w:rPr/>
            </w:r>
            <w:r>
              <w:rPr/>
              <w:fldChar w:fldCharType="separate"/>
            </w:r>
            <w:r>
              <w:rPr/>
              <w:fldChar w:fldCharType="end"/>
            </w:r>
          </w:p>
        </w:tc>
      </w:tr>
    </w:tbl>
    <w:p w14:paraId="37B931D2" w14:textId="77777777">
      <w:pPr>
        <w:spacing w:before="40" w:after="40"/>
        <w:jc w:val="both"/>
        <w:rPr>
          <w:b/>
          <w:i/>
        </w:rPr>
      </w:pPr>
    </w:p>
    <w:p w14:paraId="28BFCDAB" w14:textId="41BE2C60">
      <w:pPr>
        <w:spacing w:before="40" w:after="40"/>
        <w:jc w:val="both"/>
        <w:rPr>
          <w:b/>
          <w:i/>
        </w:rPr>
        <w:pStyle w:val="P68B1DB1-Normal7"/>
      </w:pPr>
      <w:r>
        <w:t xml:space="preserve">La personne doit immédiatement informer le pouvoir adjudicateur de toute modification des situations déclarées.</w:t>
      </w:r>
    </w:p>
    <w:p w14:paraId="0AB55991" w14:textId="77777777">
      <w:pPr>
        <w:spacing w:before="40" w:after="40"/>
        <w:jc w:val="both"/>
        <w:rPr>
          <w:b/>
          <w:i/>
        </w:rPr>
      </w:pPr>
    </w:p>
    <w:p w14:paraId="16F448EE" w14:textId="0456F69B">
      <w:pPr>
        <w:spacing w:before="40" w:after="40"/>
        <w:jc w:val="both"/>
        <w:rPr>
          <w:b/>
          <w:i/>
        </w:rPr>
        <w:pStyle w:val="P68B1DB1-Normal7"/>
      </w:pPr>
      <w:r>
        <w:t xml:space="preserve">La personne est susceptible d’être rejetée de la présente procédure et est passible de sanctions administratives (exclusion ou sanction financière) s’il est établi que de fausses déclarations ont été faites ou que de fausses informations ont été fournies pour participer à la présente procédure.</w:t>
      </w:r>
    </w:p>
    <w:p w14:paraId="7BB38143" w14:textId="77777777">
      <w:pPr>
        <w:tabs>
          <w:tab w:val="left" w:pos="4395"/>
          <w:tab w:val="left" w:pos="7797"/>
        </w:tabs>
        <w:spacing w:before="40" w:after="40"/>
        <w:jc w:val="both"/>
      </w:pPr>
    </w:p>
    <w:p w14:paraId="5652B8A9" w14:textId="01CB9F86">
      <w:pPr>
        <w:tabs>
          <w:tab w:val="left" w:pos="4395"/>
          <w:tab w:val="left" w:pos="7797"/>
        </w:tabs>
        <w:spacing w:before="40" w:after="40"/>
        <w:jc w:val="both"/>
      </w:pPr>
      <w:r>
        <w:t xml:space="preserve">Nom complet:</w:t>
        <w:tab/>
      </w:r>
    </w:p>
    <w:p w14:paraId="4F5C3CA0" w14:textId="4ADE4B77">
      <w:pPr>
        <w:tabs>
          <w:tab w:val="left" w:pos="4395"/>
          <w:tab w:val="left" w:pos="7797"/>
        </w:tabs>
        <w:spacing w:before="40" w:after="40"/>
        <w:jc w:val="both"/>
      </w:pPr>
      <w:r>
        <w:t>Date:</w:t>
        <w:tab/>
      </w:r>
    </w:p>
    <w:p w14:paraId="16F448F0" w14:textId="42F52720">
      <w:pPr>
        <w:tabs>
          <w:tab w:val="left" w:pos="4395"/>
          <w:tab w:val="left" w:pos="7797"/>
        </w:tabs>
        <w:spacing w:before="40" w:after="40"/>
        <w:jc w:val="both"/>
      </w:pPr>
      <w:r>
        <w:t>Visa:</w:t>
      </w:r>
    </w:p>
    <w:p w14:paraId="16F448F1" w14:textId="7A2215E0"/>
    <w:p w14:paraId="53986040" w14:textId="77777777">
      <w:pPr>
        <w:rPr>
          <w:i/>
          <w:iCs/>
          <w:highlight w:val="lightGray"/>
        </w:rPr>
        <w:pStyle w:val="P68B1DB1-Normal3"/>
      </w:pPr>
      <w:r>
        <w:t xml:space="preserve">La déclaration doit être signée à l’aide d’une:</w:t>
      </w:r>
    </w:p>
    <w:p w14:paraId="17B153CA" w14:textId="77777777">
      <w:pPr>
        <w:rPr>
          <w:i/>
          <w:iCs/>
          <w:highlight w:val="lightGray"/>
        </w:rPr>
      </w:pPr>
    </w:p>
    <w:p w14:paraId="08E82C60" w14:textId="77777777">
      <w:pPr>
        <w:pStyle w:val="P68B1DB1-ListParagraph12"/>
        <w:numPr>
          <w:ilvl w:val="0"/>
          <w:numId w:val="31"/>
        </w:numPr>
        <w:rPr>
          <w:i/>
          <w:iCs/>
          <w:highlight w:val="lightGray"/>
        </w:rPr>
      </w:pPr>
      <w:r>
        <w:t xml:space="preserve">Signature électronique (option recommandée):</w:t>
      </w:r>
    </w:p>
    <w:p w14:paraId="4DFB16FF" w14:textId="77777777">
      <w:pPr>
        <w:rPr>
          <w:i/>
          <w:iCs/>
          <w:highlight w:val="lightGray"/>
        </w:rPr>
      </w:pPr>
    </w:p>
    <w:p w14:paraId="34AE105A" w14:textId="77777777">
      <w:pPr>
        <w:rPr>
          <w:i/>
          <w:iCs/>
          <w:highlight w:val="lightGray"/>
        </w:rPr>
        <w:pStyle w:val="P68B1DB1-Normal3"/>
      </w:pPr>
      <w:r>
        <w:t xml:space="preserve">Si vous avez la possibilité de signer la déclaration en utilisant une signature électronique qualifiée (QES), veuillez la faire signer électroniquement par votre ou vos représentants autorisés. Veuillez noter que seule la signature électronique qualifiée (QES) au sens du règlement (UE) no 910/2014 (règlement eIDAS) sera acceptée. </w:t>
      </w:r>
    </w:p>
    <w:p w14:paraId="14B60CC3" w14:textId="77777777">
      <w:pPr>
        <w:rPr>
          <w:i/>
          <w:iCs/>
          <w:highlight w:val="lightGray"/>
        </w:rPr>
      </w:pPr>
    </w:p>
    <w:p w14:paraId="271453EE" w14:textId="77777777">
      <w:pPr>
        <w:rPr>
          <w:i/>
          <w:iCs/>
          <w:highlight w:val="lightGray"/>
        </w:rPr>
        <w:pStyle w:val="P68B1DB1-Normal3"/>
      </w:pPr>
      <w:r>
        <w:t xml:space="preserve">Avant de renvoyer votre document signé électroniquement, veuillez vérifier la signature et la validité du certificat à l’aide de l’un des outils suivants:</w:t>
      </w:r>
    </w:p>
    <w:p w14:paraId="51E4A90D" w14:textId="77777777">
      <w:pPr>
        <w:pStyle w:val="P68B1DB1-ListParagraph13"/>
        <w:numPr>
          <w:ilvl w:val="0"/>
          <w:numId w:val="32"/>
        </w:numPr>
        <w:rPr>
          <w:i/>
          <w:iCs/>
          <w:highlight w:val="lightGray"/>
        </w:rPr>
      </w:pPr>
      <w:r>
        <w:rPr>
          <w:i/>
        </w:rPr>
        <w:t xml:space="preserve">L’outil de validation de démonstration DSS disponible </w:t>
      </w:r>
      <w:hyperlink r:id="rId14">
        <w:r>
          <w:t xml:space="preserve">à </w:t>
        </w:r>
      </w:hyperlink>
      <w:r>
        <w:rPr>
          <w:i/>
        </w:rPr>
        <w:t xml:space="preserve">l’adresse https://ec.europa.eu/cefdigital/DSS/webapp-demo/validation peut vous aider à vérifier la validité d’un certificat en indiquant le nombre et le type de signatures valides dans un document.</w:t>
      </w:r>
    </w:p>
    <w:p w14:paraId="4C363E86" w14:textId="114D5DCB">
      <w:pPr>
        <w:pStyle w:val="ListParagraph"/>
        <w:numPr>
          <w:ilvl w:val="0"/>
          <w:numId w:val="32"/>
        </w:numPr>
        <w:rPr>
          <w:i/>
          <w:iCs/>
          <w:highlight w:val="lightGray"/>
        </w:rPr>
      </w:pPr>
      <w:r>
        <w:t xml:space="preserve">Le navigateur </w:t>
      </w:r>
      <w:r>
        <w:rPr>
          <w:i/>
          <w:highlight w:val="lightGray"/>
        </w:rPr>
        <w:t xml:space="preserve">de la liste de confiance de l’UE peut être consulté afin de vérifier si le fournisseur de signature électronique et le service de confiance qu’il fournit figurent sur la liste de confiance de l’Union européenne: </w:t>
      </w:r>
      <w:hyperlink r:id="rId15" w:anchor="/screen/home">
        <w:r>
          <w:rPr>
            <w:i/>
            <w:highlight w:val="lightGray"/>
          </w:rPr>
          <w:t>https://esignature.ec.europa.eu/efda/tl-browser/#/screen/home</w:t>
        </w:r>
      </w:hyperlink>
      <w:r>
        <w:t xml:space="preserve"> </w:t>
      </w:r>
    </w:p>
    <w:p w14:paraId="58097C9C" w14:textId="77777777">
      <w:pPr>
        <w:rPr>
          <w:i/>
          <w:iCs/>
          <w:highlight w:val="lightGray"/>
        </w:rPr>
      </w:pPr>
    </w:p>
    <w:p w14:paraId="7EFE5604" w14:textId="77777777">
      <w:pPr>
        <w:rPr>
          <w:i/>
          <w:iCs/>
          <w:highlight w:val="lightGray"/>
        </w:rPr>
        <w:pStyle w:val="P68B1DB1-Normal3"/>
      </w:pPr>
      <w:r>
        <w:t xml:space="preserve">Pour vous assurer que vous utilisez une QES conforme au règlement eIDAS, vous devez vérifier qu’aussi bien le prestataire de services que le service de création de certificats qualifiés utilisé figurent dans l’outil EU Trusted List Browser.</w:t>
      </w:r>
    </w:p>
    <w:p w14:paraId="7E36E67D" w14:textId="77777777">
      <w:pPr>
        <w:rPr>
          <w:i/>
          <w:iCs/>
          <w:highlight w:val="lightGray"/>
        </w:rPr>
      </w:pPr>
    </w:p>
    <w:p w14:paraId="1B35402D" w14:textId="77777777">
      <w:pPr>
        <w:pStyle w:val="P68B1DB1-ListParagraph12"/>
        <w:numPr>
          <w:ilvl w:val="0"/>
          <w:numId w:val="31"/>
        </w:numPr>
        <w:rPr>
          <w:i/>
          <w:iCs/>
          <w:highlight w:val="lightGray"/>
        </w:rPr>
      </w:pPr>
      <w:r>
        <w:t xml:space="preserve">Signature manuscrite:</w:t>
      </w:r>
    </w:p>
    <w:p w14:paraId="64EBAE13" w14:textId="77777777">
      <w:pPr>
        <w:rPr>
          <w:i/>
          <w:iCs/>
          <w:highlight w:val="lightGray"/>
        </w:rPr>
      </w:pPr>
    </w:p>
    <w:p w14:paraId="6B4AD373" w14:textId="40400EE6">
      <w:pPr>
        <w:rPr>
          <w:i/>
          <w:iCs/>
          <w:highlight w:val="lightGray"/>
        </w:rPr>
        <w:pStyle w:val="P68B1DB1-Normal3"/>
      </w:pPr>
      <w:r>
        <w:t xml:space="preserve">Si vous n’avez pas la possibilité de signer la déclaration au moyen d’une signature électronique qualifiée, veuillez la remplir par voie électronique, puis l’imprimer et la faire signer et dater par votre ou vos représentants autorisés au moyen d’une signature manuscrite.</w:t>
      </w:r>
    </w:p>
    <w:sectPr>
      <w:headerReference w:type="default" r:id="rId16"/>
      <w:footerReference w:type="default" r:id="rId17"/>
      <w:headerReference w:type="first" r:id="rId18"/>
      <w:footerReference w:type="first" r:id="rId19"/>
      <w:pgSz w:w="11906" w:h="16838" w:code="9"/>
      <w:pgMar w:top="1134" w:right="1418" w:bottom="1134" w:left="1418"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30F761" w14:textId="77777777">
      <w:r>
        <w:separator/>
      </w:r>
    </w:p>
  </w:endnote>
  <w:endnote w:type="continuationSeparator" w:id="0">
    <w:p w14:paraId="7A44D732" w14:textId="77777777">
      <w:r>
        <w:continuationSeparator/>
      </w:r>
    </w:p>
  </w:endnote>
  <w:endnote w:type="continuationNotice" w:id="1">
    <w:p w14:paraId="3692CDB5"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5981518"/>
      <w:docPartObj>
        <w:docPartGallery w:val="Page Numbers (Bottom of Page)"/>
        <w:docPartUnique/>
      </w:docPartObj>
    </w:sdtPr>
    <w:sdtEndPr/>
    <w:sdtContent>
      <w:sdt>
        <w:sdtPr>
          <w:id w:val="-1769616900"/>
          <w:docPartObj>
            <w:docPartGallery w:val="Page Numbers (Top of Page)"/>
            <w:docPartUnique/>
          </w:docPartObj>
        </w:sdtPr>
        <w:sdtEndPr/>
        <w:sdtContent>
          <w:p w14:paraId="08123FA5" w14:textId="0762C965">
            <w:pPr>
              <w:pStyle w:val="P68B1DB1-Footer16"/>
              <w:jc w:val="center"/>
            </w:pPr>
            <w:r>
              <w:t xml:space="preserve">Page </w:t>
            </w:r>
            <w:r>
              <w:fldChar w:fldCharType="begin"/>
            </w:r>
            <w:r>
              <w:rPr>
                <w:bCs/>
                <w:sz w:val="20"/>
                <w:szCs w:val="20"/>
              </w:rPr>
              <w:instrText xml:space="preserve"> PAGE </w:instrText>
            </w:r>
            <w:r>
              <w:rPr>
                <w:bCs/>
                <w:sz w:val="20"/>
                <w:szCs w:val="20"/>
              </w:rPr>
              <w:fldChar w:fldCharType="separate"/>
            </w:r>
            <w:r>
              <w:rPr>
                <w:bCs/>
                <w:sz w:val="20"/>
                <w:szCs w:val="20"/>
              </w:rPr>
              <w:t>5</w:t>
            </w:r>
            <w:r>
              <w:rPr>
                <w:bCs/>
                <w:sz w:val="20"/>
                <w:szCs w:val="20"/>
              </w:rPr>
              <w:fldChar w:fldCharType="end"/>
            </w:r>
            <w:r>
              <w:t xml:space="preserve"> de </w:t>
            </w:r>
            <w:r>
              <w:fldChar w:fldCharType="begin"/>
            </w:r>
            <w:r>
              <w:rPr>
                <w:bCs/>
                <w:sz w:val="20"/>
                <w:szCs w:val="20"/>
              </w:rPr>
              <w:instrText xml:space="preserve"> NUMPAGES  </w:instrText>
            </w:r>
            <w:r>
              <w:rPr>
                <w:bCs/>
                <w:sz w:val="20"/>
                <w:szCs w:val="20"/>
              </w:rPr>
              <w:fldChar w:fldCharType="separate"/>
            </w:r>
            <w:r>
              <w:rPr>
                <w:bCs/>
                <w:sz w:val="20"/>
                <w:szCs w:val="20"/>
              </w:rPr>
              <w:t>9</w:t>
            </w:r>
            <w:r>
              <w:rPr>
                <w:bCs/>
                <w:sz w:val="20"/>
                <w:szCs w:val="20"/>
              </w:rPr>
              <w:fldChar w:fldCharType="end"/>
            </w:r>
          </w:p>
        </w:sdtContent>
      </w:sdt>
    </w:sdtContent>
  </w:sdt>
  <w:p w14:paraId="65B8CF84"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BA7AE" w14:textId="70FD2B71">
    <w:pPr>
      <w:pStyle w:val="Footer"/>
      <w:jc w:val="right"/>
      <w:rPr>
        <w:sz w:val="20"/>
        <w:szCs w:val="20"/>
      </w:rPr>
    </w:pPr>
  </w:p>
  <w:p w14:paraId="247F4E4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E9A539" w14:textId="77777777">
      <w:r>
        <w:separator/>
      </w:r>
    </w:p>
  </w:footnote>
  <w:footnote w:type="continuationSeparator" w:id="0">
    <w:p w14:paraId="63FFA226" w14:textId="77777777">
      <w:r>
        <w:continuationSeparator/>
      </w:r>
    </w:p>
  </w:footnote>
  <w:footnote w:type="continuationNotice" w:id="1">
    <w:p w14:paraId="50E7D92D" w14:textId="77777777"/>
  </w:footnote>
  <w:footnote w:id="2">
    <w:p w14:paraId="61539AC3" w14:textId="46EF5ACC">
      <w:pPr>
        <w:pStyle w:val="FootnoteText"/>
      </w:pPr>
      <w:r>
        <w:rPr>
          <w:rStyle w:val="FootnoteReference"/>
        </w:rPr>
        <w:footnoteRef/>
      </w:r>
      <w:r>
        <w:t xml:space="preserve"> Même institution, agence, organe ou organisme de l’UE. </w:t>
      </w:r>
    </w:p>
  </w:footnote>
  <w:footnote w:id="3">
    <w:p w14:paraId="77A259E1" w14:textId="37F9C71D">
      <w:pPr>
        <w:rPr>
          <w:sz w:val="20"/>
          <w:szCs w:val="20"/>
        </w:rPr>
      </w:pPr>
      <w:r>
        <w:rPr>
          <w:rStyle w:val="FootnoteReference"/>
          <w:sz w:val="20"/>
          <w:szCs w:val="20"/>
        </w:rPr>
        <w:footnoteRef/>
      </w:r>
      <w:r>
        <w:rPr>
          <w:sz w:val="20"/>
          <w:szCs w:val="20"/>
        </w:rPr>
        <w:t xml:space="preserve"> Une </w:t>
      </w:r>
      <w:r>
        <w:rPr>
          <w:b/>
          <w:sz w:val="20"/>
          <w:szCs w:val="20"/>
        </w:rPr>
        <w:t xml:space="preserve">«entité concernée</w:t>
      </w:r>
      <w:r>
        <w:rPr>
          <w:sz w:val="20"/>
          <w:szCs w:val="20"/>
        </w:rPr>
        <w:t xml:space="preserve">» correspond à chaque opérateur économique concerné par la demande de participation/l’offre. Il s’agit des quatre catégories d’opérateurs économiques suivantes:</w:t>
      </w:r>
    </w:p>
    <w:p w14:paraId="2A5F011B" w14:textId="797285D5">
      <w:pPr>
        <w:pStyle w:val="P68B1DB1-ListParagraph14"/>
        <w:numPr>
          <w:ilvl w:val="0"/>
          <w:numId w:val="52"/>
        </w:numPr>
        <w:contextualSpacing w:val="0"/>
        <w:jc w:val="both"/>
        <w:rPr>
          <w:sz w:val="20"/>
          <w:szCs w:val="20"/>
        </w:rPr>
      </w:pPr>
      <w:r>
        <w:t xml:space="preserve">le candidat/soumissionnaire unique; </w:t>
      </w:r>
    </w:p>
    <w:p w14:paraId="19BA1FBC" w14:textId="0458761C">
      <w:pPr>
        <w:pStyle w:val="P68B1DB1-ListParagraph14"/>
        <w:numPr>
          <w:ilvl w:val="0"/>
          <w:numId w:val="52"/>
        </w:numPr>
        <w:spacing w:before="100" w:beforeAutospacing="1" w:after="100" w:afterAutospacing="1"/>
        <w:contextualSpacing w:val="0"/>
        <w:jc w:val="both"/>
        <w:rPr>
          <w:sz w:val="20"/>
          <w:szCs w:val="20"/>
        </w:rPr>
      </w:pPr>
      <w:r>
        <w:t xml:space="preserve">les membres d’un groupe (y compris le chef du groupe) en cas de demande de participation/d’offre conjointe; </w:t>
      </w:r>
    </w:p>
    <w:p w14:paraId="1460283F" w14:textId="114CC700">
      <w:pPr>
        <w:pStyle w:val="P68B1DB1-ListParagraph14"/>
        <w:numPr>
          <w:ilvl w:val="0"/>
          <w:numId w:val="52"/>
        </w:numPr>
        <w:contextualSpacing w:val="0"/>
        <w:jc w:val="both"/>
        <w:rPr>
          <w:sz w:val="20"/>
          <w:szCs w:val="20"/>
        </w:rPr>
      </w:pPr>
      <w:r>
        <w:t xml:space="preserve">sous-traitants recensés; et </w:t>
      </w:r>
    </w:p>
    <w:p w14:paraId="47F4AE29" w14:textId="50B7CA17">
      <w:pPr>
        <w:pStyle w:val="P68B1DB1-ListParagraph14"/>
        <w:numPr>
          <w:ilvl w:val="0"/>
          <w:numId w:val="52"/>
        </w:numPr>
        <w:contextualSpacing w:val="0"/>
        <w:jc w:val="both"/>
        <w:rPr>
          <w:sz w:val="20"/>
          <w:szCs w:val="20"/>
        </w:rPr>
      </w:pPr>
      <w:r>
        <w:t xml:space="preserve">autres entités (qui ne sont pas des sous-traitants) sur la capacité desquelles le candidat/soumissionnaire s’appuie pour remplir les critères de sélection.</w:t>
      </w:r>
    </w:p>
    <w:p w14:paraId="5BE9C146" w14:textId="10CA3A5B">
      <w:pPr>
        <w:pStyle w:val="FootnoteText"/>
        <w:ind w:left="0" w:firstLine="0"/>
      </w:pPr>
    </w:p>
  </w:footnote>
  <w:footnote w:id="4">
    <w:p w14:paraId="7F511AE8" w14:textId="5800C21C">
      <w:pPr>
        <w:pStyle w:val="FootnoteText"/>
      </w:pPr>
      <w:r>
        <w:rPr>
          <w:rStyle w:val="FootnoteReference"/>
        </w:rPr>
        <w:footnoteRef/>
      </w:r>
      <w:r>
        <w:t xml:space="preserve"> Si vous avez répondu par l’affirmative à l’une des questions, veuillez fournir toute précision supplémentaire que vous jugez utile.</w:t>
      </w:r>
    </w:p>
  </w:footnote>
  <w:footnote w:id="5">
    <w:p w14:paraId="79038C83" w14:textId="46E5ADA1">
      <w:pPr>
        <w:pStyle w:val="FootnoteText"/>
      </w:pPr>
      <w:r>
        <w:rPr>
          <w:rStyle w:val="FootnoteReference"/>
        </w:rPr>
        <w:footnoteRef/>
      </w:r>
      <w:r>
        <w:t xml:space="preserve"> Même institution, agence, organe ou organisme de l’UE.</w:t>
      </w:r>
    </w:p>
  </w:footnote>
  <w:footnote w:id="6">
    <w:p w14:paraId="691476B8" w14:textId="175A7801">
      <w:pPr>
        <w:pStyle w:val="FootnoteText"/>
      </w:pPr>
      <w:r>
        <w:rPr>
          <w:rStyle w:val="FootnoteReference"/>
        </w:rPr>
        <w:footnoteRef/>
      </w:r>
      <w:r>
        <w:t xml:space="preserve"> Même institution, agence, organe ou organisme de l’UE.</w:t>
      </w:r>
    </w:p>
  </w:footnote>
  <w:footnote w:id="7">
    <w:p w14:paraId="778927A2" w14:textId="77777777">
      <w:pPr>
        <w:pStyle w:val="FootnoteText"/>
      </w:pPr>
      <w:r>
        <w:rPr>
          <w:rStyle w:val="FootnoteReference"/>
        </w:rPr>
        <w:footnoteRef/>
      </w:r>
      <w:r>
        <w:t xml:space="preserve"> Il est à noter que le Journal officiel de l’UE contient la liste officielle et, en cas de conflit, son contenu prévaut</w:t>
      </w:r>
    </w:p>
    <w:p w14:paraId="63C271E7" w14:textId="77777777">
      <w:pPr>
        <w:pStyle w:val="FootnoteText"/>
      </w:pPr>
      <w:r>
        <w:t xml:space="preserve">sur celui de la carte des </w:t>
      </w:r>
      <w:hyperlink r:id="rId1" w:anchor="/main" w:history="1">
        <w:r>
          <w:rPr>
            <w:rStyle w:val="Hyperlink"/>
          </w:rPr>
          <w:t xml:space="preserve">sanctions de l’UE</w:t>
        </w:r>
      </w:hyperlink>
      <w:r>
        <w:t>.</w:t>
      </w:r>
    </w:p>
  </w:footnote>
  <w:footnote w:id="8">
    <w:p w14:paraId="3C6093FD" w14:textId="77777777">
      <w:pPr>
        <w:pStyle w:val="FootnoteText"/>
      </w:pPr>
      <w:r>
        <w:rPr>
          <w:rStyle w:val="FootnoteReference"/>
        </w:rPr>
        <w:footnoteRef/>
      </w:r>
      <w:r>
        <w:t xml:space="preserve"> Il est à noter que le Journal officiel de l’UE contient la liste officielle et, en cas de conflit, son contenu prévaut</w:t>
      </w:r>
    </w:p>
    <w:p w14:paraId="601A33BD" w14:textId="77777777">
      <w:pPr>
        <w:pStyle w:val="FootnoteText"/>
      </w:pPr>
      <w:r>
        <w:t xml:space="preserve">sur celui de la carte des </w:t>
      </w:r>
      <w:hyperlink r:id="rId2" w:anchor="/main" w:history="1">
        <w:r>
          <w:rPr>
            <w:rStyle w:val="Hyperlink"/>
          </w:rPr>
          <w:t xml:space="preserve">sanctions de l’UE</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4530D" w14:textId="3B5BEA50">
    <w:pPr>
      <w:pStyle w:val="P68B1DB1-Header15"/>
      <w:jc w:val="right"/>
      <w:rPr>
        <w:sz w:val="20"/>
        <w:szCs w:val="20"/>
      </w:rPr>
    </w:pPr>
    <w:r>
      <w:t xml:space="preserve">Version de décembre 2025</w:t>
    </w:r>
  </w:p>
  <w:p w14:paraId="42189F54"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448F6" w14:textId="24A0B937">
    <w:pPr>
      <w:pStyle w:val="P68B1DB1-Header15"/>
      <w:jc w:val="right"/>
      <w:rPr>
        <w:sz w:val="20"/>
        <w:szCs w:val="20"/>
      </w:rPr>
    </w:pPr>
    <w:r>
      <w:t xml:space="preserve">Version juillet 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32C732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0963E6"/>
    <w:multiLevelType w:val="hybridMultilevel"/>
    <w:tmpl w:val="95A69F44"/>
    <w:lvl w:ilvl="0" w:tplc="02C47AC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B363E"/>
    <w:multiLevelType w:val="singleLevel"/>
    <w:tmpl w:val="C248E822"/>
    <w:lvl w:ilvl="0">
      <w:start w:val="9"/>
      <w:numFmt w:val="decimal"/>
      <w:lvlText w:val="%1."/>
      <w:lvlJc w:val="left"/>
      <w:pPr>
        <w:tabs>
          <w:tab w:val="num" w:pos="360"/>
        </w:tabs>
        <w:ind w:left="360" w:hanging="360"/>
      </w:pPr>
      <w:rPr>
        <w:b/>
        <w:i w:val="0"/>
      </w:rPr>
    </w:lvl>
  </w:abstractNum>
  <w:abstractNum w:abstractNumId="3" w15:restartNumberingAfterBreak="0">
    <w:nsid w:val="10BB7F20"/>
    <w:multiLevelType w:val="hybridMultilevel"/>
    <w:tmpl w:val="612A1EF8"/>
    <w:lvl w:ilvl="0" w:tplc="02C47AC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9779A1"/>
    <w:multiLevelType w:val="hybridMultilevel"/>
    <w:tmpl w:val="2CCCDDAC"/>
    <w:lvl w:ilvl="0" w:tplc="D452E7DA">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014228"/>
    <w:multiLevelType w:val="hybridMultilevel"/>
    <w:tmpl w:val="EA1837C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723E77"/>
    <w:multiLevelType w:val="hybridMultilevel"/>
    <w:tmpl w:val="21CCE7FC"/>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15:restartNumberingAfterBreak="0">
    <w:nsid w:val="17265189"/>
    <w:multiLevelType w:val="hybridMultilevel"/>
    <w:tmpl w:val="34F05080"/>
    <w:lvl w:ilvl="0" w:tplc="022E1612">
      <w:start w:val="2"/>
      <w:numFmt w:val="bullet"/>
      <w:lvlText w:val="-"/>
      <w:lvlJc w:val="left"/>
      <w:pPr>
        <w:tabs>
          <w:tab w:val="num" w:pos="1080"/>
        </w:tabs>
        <w:ind w:left="1080" w:hanging="720"/>
      </w:pPr>
      <w:rPr>
        <w:rFonts w:ascii="Times New Roman" w:eastAsia="Times New Roman" w:hAnsi="Times New Roman" w:cs="Times New Roman"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B250BA7"/>
    <w:multiLevelType w:val="hybridMultilevel"/>
    <w:tmpl w:val="55D8A23E"/>
    <w:lvl w:ilvl="0" w:tplc="7E3C3E1C">
      <w:start w:val="9"/>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720F62"/>
    <w:multiLevelType w:val="hybridMultilevel"/>
    <w:tmpl w:val="F406456E"/>
    <w:lvl w:ilvl="0" w:tplc="6D0E0CA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FE02A3"/>
    <w:multiLevelType w:val="hybridMultilevel"/>
    <w:tmpl w:val="C1F2149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927570"/>
    <w:multiLevelType w:val="hybridMultilevel"/>
    <w:tmpl w:val="52EE040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21934A21"/>
    <w:multiLevelType w:val="hybridMultilevel"/>
    <w:tmpl w:val="975043B8"/>
    <w:lvl w:ilvl="0" w:tplc="18090017">
      <w:start w:val="1"/>
      <w:numFmt w:val="lowerLetter"/>
      <w:lvlText w:val="%1)"/>
      <w:lvlJc w:val="left"/>
      <w:pPr>
        <w:ind w:left="107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29154038"/>
    <w:multiLevelType w:val="singleLevel"/>
    <w:tmpl w:val="F4A01F58"/>
    <w:lvl w:ilvl="0">
      <w:start w:val="7"/>
      <w:numFmt w:val="decimal"/>
      <w:lvlText w:val="%1."/>
      <w:lvlJc w:val="left"/>
      <w:pPr>
        <w:tabs>
          <w:tab w:val="num" w:pos="360"/>
        </w:tabs>
        <w:ind w:left="360" w:hanging="360"/>
      </w:pPr>
      <w:rPr>
        <w:b/>
        <w:i w:val="0"/>
      </w:rPr>
    </w:lvl>
  </w:abstractNum>
  <w:abstractNum w:abstractNumId="14" w15:restartNumberingAfterBreak="0">
    <w:nsid w:val="2C3E7D34"/>
    <w:multiLevelType w:val="hybridMultilevel"/>
    <w:tmpl w:val="2A045DEE"/>
    <w:lvl w:ilvl="0" w:tplc="B1160778">
      <w:start w:val="1"/>
      <w:numFmt w:val="decimal"/>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2CF440C6"/>
    <w:multiLevelType w:val="multilevel"/>
    <w:tmpl w:val="A81A93D2"/>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E116DC0"/>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abstractNum w:abstractNumId="17" w15:restartNumberingAfterBreak="0">
    <w:nsid w:val="2E5C38F8"/>
    <w:multiLevelType w:val="hybridMultilevel"/>
    <w:tmpl w:val="22D4A8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8" w15:restartNumberingAfterBreak="0">
    <w:nsid w:val="2F811C4D"/>
    <w:multiLevelType w:val="hybridMultilevel"/>
    <w:tmpl w:val="E25466F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FA80CBD"/>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2181130"/>
    <w:multiLevelType w:val="hybridMultilevel"/>
    <w:tmpl w:val="F406456E"/>
    <w:lvl w:ilvl="0" w:tplc="6D0E0CA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76854A9"/>
    <w:multiLevelType w:val="hybridMultilevel"/>
    <w:tmpl w:val="25FC9E14"/>
    <w:lvl w:ilvl="0" w:tplc="7FC0629E">
      <w:start w:val="1"/>
      <w:numFmt w:val="bullet"/>
      <w:lvlText w:val=""/>
      <w:lvlJc w:val="left"/>
      <w:pPr>
        <w:tabs>
          <w:tab w:val="num" w:pos="842"/>
        </w:tabs>
        <w:ind w:left="84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93143F1"/>
    <w:multiLevelType w:val="hybridMultilevel"/>
    <w:tmpl w:val="22D4A8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3" w15:restartNumberingAfterBreak="0">
    <w:nsid w:val="3A632EED"/>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4" w15:restartNumberingAfterBreak="0">
    <w:nsid w:val="3D466E68"/>
    <w:multiLevelType w:val="hybridMultilevel"/>
    <w:tmpl w:val="EA1837C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E7C5D75"/>
    <w:multiLevelType w:val="hybridMultilevel"/>
    <w:tmpl w:val="A53A191E"/>
    <w:lvl w:ilvl="0" w:tplc="F15CDC6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6B35C5"/>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7" w15:restartNumberingAfterBreak="0">
    <w:nsid w:val="43013634"/>
    <w:multiLevelType w:val="hybridMultilevel"/>
    <w:tmpl w:val="22D4A8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8" w15:restartNumberingAfterBreak="0">
    <w:nsid w:val="48A537A3"/>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4A4E63A9"/>
    <w:multiLevelType w:val="multilevel"/>
    <w:tmpl w:val="F9AE2018"/>
    <w:lvl w:ilvl="0">
      <w:start w:val="2"/>
      <w:numFmt w:val="lowerLetter"/>
      <w:lvlText w:val="(%1)"/>
      <w:lvlJc w:val="left"/>
      <w:pPr>
        <w:tabs>
          <w:tab w:val="num" w:pos="360"/>
        </w:tabs>
        <w:ind w:left="360" w:hanging="360"/>
      </w:pPr>
      <w:rPr>
        <w:rFonts w:hint="default"/>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0" w15:restartNumberingAfterBreak="0">
    <w:nsid w:val="4AFE27E8"/>
    <w:multiLevelType w:val="hybridMultilevel"/>
    <w:tmpl w:val="227C38B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B6355C0"/>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4E12590F"/>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53842BB4"/>
    <w:multiLevelType w:val="multilevel"/>
    <w:tmpl w:val="A81A93D2"/>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56DC05A1"/>
    <w:multiLevelType w:val="hybridMultilevel"/>
    <w:tmpl w:val="DA14B938"/>
    <w:lvl w:ilvl="0" w:tplc="7BDE7548">
      <w:start w:val="10"/>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5" w15:restartNumberingAfterBreak="0">
    <w:nsid w:val="5E57701D"/>
    <w:multiLevelType w:val="hybridMultilevel"/>
    <w:tmpl w:val="D20E0FA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32B3DD6"/>
    <w:multiLevelType w:val="hybridMultilevel"/>
    <w:tmpl w:val="0C8A6F26"/>
    <w:lvl w:ilvl="0" w:tplc="0809000B">
      <w:start w:val="1"/>
      <w:numFmt w:val="bullet"/>
      <w:lvlText w:val=""/>
      <w:lvlJc w:val="left"/>
      <w:pPr>
        <w:ind w:left="731" w:hanging="360"/>
      </w:pPr>
      <w:rPr>
        <w:rFonts w:ascii="Wingdings" w:hAnsi="Wingdings" w:hint="default"/>
      </w:rPr>
    </w:lvl>
    <w:lvl w:ilvl="1" w:tplc="08090003" w:tentative="1">
      <w:start w:val="1"/>
      <w:numFmt w:val="bullet"/>
      <w:lvlText w:val="o"/>
      <w:lvlJc w:val="left"/>
      <w:pPr>
        <w:ind w:left="1451" w:hanging="360"/>
      </w:pPr>
      <w:rPr>
        <w:rFonts w:ascii="Courier New" w:hAnsi="Courier New" w:cs="Courier New" w:hint="default"/>
      </w:rPr>
    </w:lvl>
    <w:lvl w:ilvl="2" w:tplc="08090005" w:tentative="1">
      <w:start w:val="1"/>
      <w:numFmt w:val="bullet"/>
      <w:lvlText w:val=""/>
      <w:lvlJc w:val="left"/>
      <w:pPr>
        <w:ind w:left="2171" w:hanging="360"/>
      </w:pPr>
      <w:rPr>
        <w:rFonts w:ascii="Wingdings" w:hAnsi="Wingdings" w:hint="default"/>
      </w:rPr>
    </w:lvl>
    <w:lvl w:ilvl="3" w:tplc="08090001" w:tentative="1">
      <w:start w:val="1"/>
      <w:numFmt w:val="bullet"/>
      <w:lvlText w:val=""/>
      <w:lvlJc w:val="left"/>
      <w:pPr>
        <w:ind w:left="2891" w:hanging="360"/>
      </w:pPr>
      <w:rPr>
        <w:rFonts w:ascii="Symbol" w:hAnsi="Symbol" w:hint="default"/>
      </w:rPr>
    </w:lvl>
    <w:lvl w:ilvl="4" w:tplc="08090003" w:tentative="1">
      <w:start w:val="1"/>
      <w:numFmt w:val="bullet"/>
      <w:lvlText w:val="o"/>
      <w:lvlJc w:val="left"/>
      <w:pPr>
        <w:ind w:left="3611" w:hanging="360"/>
      </w:pPr>
      <w:rPr>
        <w:rFonts w:ascii="Courier New" w:hAnsi="Courier New" w:cs="Courier New" w:hint="default"/>
      </w:rPr>
    </w:lvl>
    <w:lvl w:ilvl="5" w:tplc="08090005" w:tentative="1">
      <w:start w:val="1"/>
      <w:numFmt w:val="bullet"/>
      <w:lvlText w:val=""/>
      <w:lvlJc w:val="left"/>
      <w:pPr>
        <w:ind w:left="4331" w:hanging="360"/>
      </w:pPr>
      <w:rPr>
        <w:rFonts w:ascii="Wingdings" w:hAnsi="Wingdings" w:hint="default"/>
      </w:rPr>
    </w:lvl>
    <w:lvl w:ilvl="6" w:tplc="08090001" w:tentative="1">
      <w:start w:val="1"/>
      <w:numFmt w:val="bullet"/>
      <w:lvlText w:val=""/>
      <w:lvlJc w:val="left"/>
      <w:pPr>
        <w:ind w:left="5051" w:hanging="360"/>
      </w:pPr>
      <w:rPr>
        <w:rFonts w:ascii="Symbol" w:hAnsi="Symbol" w:hint="default"/>
      </w:rPr>
    </w:lvl>
    <w:lvl w:ilvl="7" w:tplc="08090003" w:tentative="1">
      <w:start w:val="1"/>
      <w:numFmt w:val="bullet"/>
      <w:lvlText w:val="o"/>
      <w:lvlJc w:val="left"/>
      <w:pPr>
        <w:ind w:left="5771" w:hanging="360"/>
      </w:pPr>
      <w:rPr>
        <w:rFonts w:ascii="Courier New" w:hAnsi="Courier New" w:cs="Courier New" w:hint="default"/>
      </w:rPr>
    </w:lvl>
    <w:lvl w:ilvl="8" w:tplc="08090005" w:tentative="1">
      <w:start w:val="1"/>
      <w:numFmt w:val="bullet"/>
      <w:lvlText w:val=""/>
      <w:lvlJc w:val="left"/>
      <w:pPr>
        <w:ind w:left="6491" w:hanging="360"/>
      </w:pPr>
      <w:rPr>
        <w:rFonts w:ascii="Wingdings" w:hAnsi="Wingdings" w:hint="default"/>
      </w:rPr>
    </w:lvl>
  </w:abstractNum>
  <w:abstractNum w:abstractNumId="37" w15:restartNumberingAfterBreak="0">
    <w:nsid w:val="6573425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8" w15:restartNumberingAfterBreak="0">
    <w:nsid w:val="65A7718B"/>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abstractNum w:abstractNumId="39" w15:restartNumberingAfterBreak="0">
    <w:nsid w:val="662B5C67"/>
    <w:multiLevelType w:val="singleLevel"/>
    <w:tmpl w:val="40D2097A"/>
    <w:lvl w:ilvl="0">
      <w:start w:val="1"/>
      <w:numFmt w:val="bullet"/>
      <w:lvlText w:val="–"/>
      <w:lvlJc w:val="left"/>
      <w:pPr>
        <w:tabs>
          <w:tab w:val="num" w:pos="283"/>
        </w:tabs>
        <w:ind w:left="283" w:hanging="283"/>
      </w:pPr>
      <w:rPr>
        <w:rFonts w:ascii="Times New Roman" w:hAnsi="Times New Roman"/>
      </w:rPr>
    </w:lvl>
  </w:abstractNum>
  <w:abstractNum w:abstractNumId="40" w15:restartNumberingAfterBreak="0">
    <w:nsid w:val="6709224B"/>
    <w:multiLevelType w:val="hybridMultilevel"/>
    <w:tmpl w:val="D4FC73AC"/>
    <w:lvl w:ilvl="0" w:tplc="C74076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871164D"/>
    <w:multiLevelType w:val="hybridMultilevel"/>
    <w:tmpl w:val="18141220"/>
    <w:lvl w:ilvl="0" w:tplc="0809001B">
      <w:start w:val="1"/>
      <w:numFmt w:val="lowerRoman"/>
      <w:lvlText w:val="%1."/>
      <w:lvlJc w:val="right"/>
      <w:pPr>
        <w:ind w:left="107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2" w15:restartNumberingAfterBreak="0">
    <w:nsid w:val="696A6040"/>
    <w:multiLevelType w:val="hybridMultilevel"/>
    <w:tmpl w:val="2E3C014C"/>
    <w:lvl w:ilvl="0" w:tplc="3594C3CE">
      <w:numFmt w:val="bullet"/>
      <w:lvlText w:val="-"/>
      <w:lvlJc w:val="left"/>
      <w:pPr>
        <w:ind w:left="720" w:hanging="360"/>
      </w:pPr>
      <w:rPr>
        <w:rFonts w:ascii="Times New Roman" w:eastAsia="Times New Roman" w:hAnsi="Times New Roman" w:cs="Times New Roman"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DFB02EC"/>
    <w:multiLevelType w:val="hybridMultilevel"/>
    <w:tmpl w:val="9DC66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F804877"/>
    <w:multiLevelType w:val="hybridMultilevel"/>
    <w:tmpl w:val="85A8056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15:restartNumberingAfterBreak="0">
    <w:nsid w:val="6FDC236F"/>
    <w:multiLevelType w:val="singleLevel"/>
    <w:tmpl w:val="37783E86"/>
    <w:lvl w:ilvl="0">
      <w:start w:val="1"/>
      <w:numFmt w:val="bullet"/>
      <w:lvlText w:val=""/>
      <w:lvlJc w:val="left"/>
      <w:pPr>
        <w:tabs>
          <w:tab w:val="num" w:pos="360"/>
        </w:tabs>
        <w:ind w:left="360" w:hanging="360"/>
      </w:pPr>
      <w:rPr>
        <w:rFonts w:ascii="Wingdings" w:hAnsi="Wingdings" w:hint="default"/>
        <w:sz w:val="28"/>
      </w:rPr>
    </w:lvl>
  </w:abstractNum>
  <w:abstractNum w:abstractNumId="46" w15:restartNumberingAfterBreak="0">
    <w:nsid w:val="70C57E10"/>
    <w:multiLevelType w:val="singleLevel"/>
    <w:tmpl w:val="7200E9F2"/>
    <w:lvl w:ilvl="0">
      <w:start w:val="3"/>
      <w:numFmt w:val="decimal"/>
      <w:lvlText w:val="%1."/>
      <w:lvlJc w:val="left"/>
      <w:pPr>
        <w:tabs>
          <w:tab w:val="num" w:pos="360"/>
        </w:tabs>
        <w:ind w:left="360" w:hanging="360"/>
      </w:pPr>
      <w:rPr>
        <w:b/>
        <w:i w:val="0"/>
      </w:rPr>
    </w:lvl>
  </w:abstractNum>
  <w:abstractNum w:abstractNumId="47" w15:restartNumberingAfterBreak="0">
    <w:nsid w:val="721848C7"/>
    <w:multiLevelType w:val="hybridMultilevel"/>
    <w:tmpl w:val="22D4A86A"/>
    <w:lvl w:ilvl="0" w:tplc="FFFFFFFF">
      <w:start w:val="1"/>
      <w:numFmt w:val="decimal"/>
      <w:lvlText w:val="(%1)"/>
      <w:lvlJc w:val="left"/>
      <w:pPr>
        <w:ind w:left="502" w:hanging="360"/>
      </w:pPr>
      <w:rPr>
        <w:rFonts w:hint="default"/>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48" w15:restartNumberingAfterBreak="0">
    <w:nsid w:val="725C075B"/>
    <w:multiLevelType w:val="hybridMultilevel"/>
    <w:tmpl w:val="5982511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38452FB"/>
    <w:multiLevelType w:val="multilevel"/>
    <w:tmpl w:val="1E201ECA"/>
    <w:lvl w:ilvl="0">
      <w:start w:val="1"/>
      <w:numFmt w:val="decimal"/>
      <w:lvlText w:val="Part %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1418"/>
        </w:tabs>
        <w:ind w:left="2948" w:hanging="1530"/>
      </w:pPr>
      <w:rPr>
        <w:rFonts w:hint="default"/>
        <w:sz w:val="24"/>
      </w:rPr>
    </w:lvl>
    <w:lvl w:ilvl="4">
      <w:start w:val="1"/>
      <w:numFmt w:val="decimal"/>
      <w:lvlText w:val="%1.%2.%3.%4.%5."/>
      <w:lvlJc w:val="left"/>
      <w:pPr>
        <w:tabs>
          <w:tab w:val="num" w:pos="2520"/>
        </w:tabs>
        <w:ind w:left="2232" w:hanging="21"/>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15:restartNumberingAfterBreak="0">
    <w:nsid w:val="75EC390B"/>
    <w:multiLevelType w:val="hybridMultilevel"/>
    <w:tmpl w:val="1D3E1B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6624C6A"/>
    <w:multiLevelType w:val="hybridMultilevel"/>
    <w:tmpl w:val="18141220"/>
    <w:lvl w:ilvl="0" w:tplc="0809001B">
      <w:start w:val="1"/>
      <w:numFmt w:val="lowerRoman"/>
      <w:lvlText w:val="%1."/>
      <w:lvlJc w:val="right"/>
      <w:pPr>
        <w:ind w:left="107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2" w15:restartNumberingAfterBreak="0">
    <w:nsid w:val="79A038C6"/>
    <w:multiLevelType w:val="hybridMultilevel"/>
    <w:tmpl w:val="33DAA6BC"/>
    <w:lvl w:ilvl="0" w:tplc="2E98EC6C">
      <w:start w:val="1"/>
      <w:numFmt w:val="bullet"/>
      <w:lvlText w:val=""/>
      <w:lvlJc w:val="left"/>
      <w:pPr>
        <w:ind w:left="720" w:hanging="360"/>
      </w:pPr>
      <w:rPr>
        <w:rFonts w:ascii="Wingdings" w:hAnsi="Wingdings"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9F27F8A"/>
    <w:multiLevelType w:val="singleLevel"/>
    <w:tmpl w:val="0234E95A"/>
    <w:lvl w:ilvl="0">
      <w:start w:val="1"/>
      <w:numFmt w:val="bullet"/>
      <w:lvlText w:val=""/>
      <w:lvlJc w:val="left"/>
      <w:pPr>
        <w:tabs>
          <w:tab w:val="num" w:pos="360"/>
        </w:tabs>
        <w:ind w:left="360" w:hanging="360"/>
      </w:pPr>
      <w:rPr>
        <w:rFonts w:ascii="Symbol" w:hAnsi="Symbol" w:hint="default"/>
      </w:rPr>
    </w:lvl>
  </w:abstractNum>
  <w:abstractNum w:abstractNumId="54" w15:restartNumberingAfterBreak="0">
    <w:nsid w:val="7CB62ECB"/>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num w:numId="1" w16cid:durableId="1967852108">
    <w:abstractNumId w:val="49"/>
  </w:num>
  <w:num w:numId="2" w16cid:durableId="658996662">
    <w:abstractNumId w:val="0"/>
  </w:num>
  <w:num w:numId="3" w16cid:durableId="1207260926">
    <w:abstractNumId w:val="39"/>
  </w:num>
  <w:num w:numId="4" w16cid:durableId="1062564699">
    <w:abstractNumId w:val="7"/>
  </w:num>
  <w:num w:numId="5" w16cid:durableId="1917011099">
    <w:abstractNumId w:val="37"/>
  </w:num>
  <w:num w:numId="6" w16cid:durableId="1395468549">
    <w:abstractNumId w:val="21"/>
  </w:num>
  <w:num w:numId="7" w16cid:durableId="1283800693">
    <w:abstractNumId w:val="54"/>
  </w:num>
  <w:num w:numId="8" w16cid:durableId="1575823425">
    <w:abstractNumId w:val="38"/>
  </w:num>
  <w:num w:numId="9" w16cid:durableId="244995278">
    <w:abstractNumId w:val="16"/>
  </w:num>
  <w:num w:numId="10" w16cid:durableId="465509501">
    <w:abstractNumId w:val="13"/>
  </w:num>
  <w:num w:numId="11" w16cid:durableId="1335182691">
    <w:abstractNumId w:val="2"/>
  </w:num>
  <w:num w:numId="12" w16cid:durableId="718751325">
    <w:abstractNumId w:val="46"/>
  </w:num>
  <w:num w:numId="13" w16cid:durableId="1348677384">
    <w:abstractNumId w:val="53"/>
  </w:num>
  <w:num w:numId="14" w16cid:durableId="251932536">
    <w:abstractNumId w:val="44"/>
  </w:num>
  <w:num w:numId="15" w16cid:durableId="2011717609">
    <w:abstractNumId w:val="15"/>
  </w:num>
  <w:num w:numId="16" w16cid:durableId="1450662030">
    <w:abstractNumId w:val="45"/>
  </w:num>
  <w:num w:numId="17" w16cid:durableId="1255477684">
    <w:abstractNumId w:val="17"/>
  </w:num>
  <w:num w:numId="18" w16cid:durableId="672076131">
    <w:abstractNumId w:val="1"/>
  </w:num>
  <w:num w:numId="19" w16cid:durableId="881946482">
    <w:abstractNumId w:val="3"/>
  </w:num>
  <w:num w:numId="20" w16cid:durableId="560554904">
    <w:abstractNumId w:val="42"/>
  </w:num>
  <w:num w:numId="21" w16cid:durableId="40835702">
    <w:abstractNumId w:val="52"/>
  </w:num>
  <w:num w:numId="22" w16cid:durableId="761295461">
    <w:abstractNumId w:val="36"/>
  </w:num>
  <w:num w:numId="23" w16cid:durableId="322509580">
    <w:abstractNumId w:val="50"/>
  </w:num>
  <w:num w:numId="24" w16cid:durableId="1214539650">
    <w:abstractNumId w:val="32"/>
  </w:num>
  <w:num w:numId="25" w16cid:durableId="370501172">
    <w:abstractNumId w:val="12"/>
  </w:num>
  <w:num w:numId="26" w16cid:durableId="781845752">
    <w:abstractNumId w:val="26"/>
  </w:num>
  <w:num w:numId="27" w16cid:durableId="1236086294">
    <w:abstractNumId w:val="23"/>
  </w:num>
  <w:num w:numId="28" w16cid:durableId="434794198">
    <w:abstractNumId w:val="14"/>
  </w:num>
  <w:num w:numId="29" w16cid:durableId="1392994447">
    <w:abstractNumId w:val="41"/>
  </w:num>
  <w:num w:numId="30" w16cid:durableId="1842815227">
    <w:abstractNumId w:val="48"/>
  </w:num>
  <w:num w:numId="31" w16cid:durableId="560865117">
    <w:abstractNumId w:val="40"/>
  </w:num>
  <w:num w:numId="32" w16cid:durableId="2103447609">
    <w:abstractNumId w:val="43"/>
  </w:num>
  <w:num w:numId="33" w16cid:durableId="1192839601">
    <w:abstractNumId w:val="24"/>
  </w:num>
  <w:num w:numId="34" w16cid:durableId="502477879">
    <w:abstractNumId w:val="11"/>
  </w:num>
  <w:num w:numId="35" w16cid:durableId="1048339333">
    <w:abstractNumId w:val="20"/>
  </w:num>
  <w:num w:numId="36" w16cid:durableId="1259563885">
    <w:abstractNumId w:val="5"/>
  </w:num>
  <w:num w:numId="37" w16cid:durableId="1815835310">
    <w:abstractNumId w:val="9"/>
  </w:num>
  <w:num w:numId="38" w16cid:durableId="732658296">
    <w:abstractNumId w:val="6"/>
  </w:num>
  <w:num w:numId="39" w16cid:durableId="1571236515">
    <w:abstractNumId w:val="25"/>
  </w:num>
  <w:num w:numId="40" w16cid:durableId="1780832529">
    <w:abstractNumId w:val="30"/>
  </w:num>
  <w:num w:numId="41" w16cid:durableId="840391128">
    <w:abstractNumId w:val="10"/>
  </w:num>
  <w:num w:numId="42" w16cid:durableId="1218667723">
    <w:abstractNumId w:val="33"/>
    <w:lvlOverride w:ilvl="0">
      <w:startOverride w:val="1"/>
    </w:lvlOverride>
    <w:lvlOverride w:ilvl="1"/>
    <w:lvlOverride w:ilvl="2"/>
    <w:lvlOverride w:ilvl="3"/>
    <w:lvlOverride w:ilvl="4"/>
    <w:lvlOverride w:ilvl="5"/>
    <w:lvlOverride w:ilvl="6"/>
    <w:lvlOverride w:ilvl="7"/>
    <w:lvlOverride w:ilvl="8"/>
  </w:num>
  <w:num w:numId="43" w16cid:durableId="2130930234">
    <w:abstractNumId w:val="29"/>
    <w:lvlOverride w:ilvl="0">
      <w:startOverride w:val="2"/>
    </w:lvlOverride>
    <w:lvlOverride w:ilvl="1"/>
    <w:lvlOverride w:ilvl="2"/>
    <w:lvlOverride w:ilvl="3"/>
    <w:lvlOverride w:ilvl="4"/>
    <w:lvlOverride w:ilvl="5"/>
    <w:lvlOverride w:ilvl="6"/>
    <w:lvlOverride w:ilvl="7"/>
    <w:lvlOverride w:ilvl="8"/>
  </w:num>
  <w:num w:numId="44" w16cid:durableId="1128426210">
    <w:abstractNumId w:val="31"/>
  </w:num>
  <w:num w:numId="45" w16cid:durableId="1023895064">
    <w:abstractNumId w:val="51"/>
  </w:num>
  <w:num w:numId="46" w16cid:durableId="1238517718">
    <w:abstractNumId w:val="18"/>
  </w:num>
  <w:num w:numId="47" w16cid:durableId="1227573725">
    <w:abstractNumId w:val="19"/>
  </w:num>
  <w:num w:numId="48" w16cid:durableId="1583106452">
    <w:abstractNumId w:val="28"/>
  </w:num>
  <w:num w:numId="49" w16cid:durableId="920918386">
    <w:abstractNumId w:val="22"/>
  </w:num>
  <w:num w:numId="50" w16cid:durableId="1036740600">
    <w:abstractNumId w:val="27"/>
  </w:num>
  <w:num w:numId="51" w16cid:durableId="719672450">
    <w:abstractNumId w:val="8"/>
  </w:num>
  <w:num w:numId="52" w16cid:durableId="19206077">
    <w:abstractNumId w:val="35"/>
  </w:num>
  <w:num w:numId="53" w16cid:durableId="1151481988">
    <w:abstractNumId w:val="47"/>
  </w:num>
  <w:num w:numId="54" w16cid:durableId="1195389409">
    <w:abstractNumId w:val="34"/>
  </w:num>
  <w:num w:numId="55" w16cid:durableId="258878535">
    <w:abstractNumId w:val="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_DocType" w:val="NORMAL"/>
  </w:docVars>
  <w:rsids>
    <w:rsidRoot w:val="00DA410F"/>
    <w:rsid w:val="000000DA"/>
    <w:rsid w:val="000001AD"/>
    <w:rsid w:val="00000D90"/>
    <w:rsid w:val="00001697"/>
    <w:rsid w:val="00011D8F"/>
    <w:rsid w:val="000134F6"/>
    <w:rsid w:val="00014289"/>
    <w:rsid w:val="0001478E"/>
    <w:rsid w:val="00015453"/>
    <w:rsid w:val="00021420"/>
    <w:rsid w:val="0003236B"/>
    <w:rsid w:val="00042DF5"/>
    <w:rsid w:val="00044C7D"/>
    <w:rsid w:val="00055F7F"/>
    <w:rsid w:val="00057312"/>
    <w:rsid w:val="00060716"/>
    <w:rsid w:val="0006468D"/>
    <w:rsid w:val="00064BE7"/>
    <w:rsid w:val="00072088"/>
    <w:rsid w:val="00073CDE"/>
    <w:rsid w:val="00074059"/>
    <w:rsid w:val="00083DDE"/>
    <w:rsid w:val="0008506D"/>
    <w:rsid w:val="000853F7"/>
    <w:rsid w:val="00086029"/>
    <w:rsid w:val="00086A53"/>
    <w:rsid w:val="000A07E9"/>
    <w:rsid w:val="000A0BA5"/>
    <w:rsid w:val="000A49B6"/>
    <w:rsid w:val="000A6F71"/>
    <w:rsid w:val="000B1CF8"/>
    <w:rsid w:val="000B2CF0"/>
    <w:rsid w:val="000B34D3"/>
    <w:rsid w:val="000B67F3"/>
    <w:rsid w:val="000B752C"/>
    <w:rsid w:val="000C2EE8"/>
    <w:rsid w:val="000C3409"/>
    <w:rsid w:val="000C3A13"/>
    <w:rsid w:val="000C68B3"/>
    <w:rsid w:val="000C6B51"/>
    <w:rsid w:val="000D27F5"/>
    <w:rsid w:val="000D41F1"/>
    <w:rsid w:val="000D5F0F"/>
    <w:rsid w:val="000E044C"/>
    <w:rsid w:val="000E2E14"/>
    <w:rsid w:val="000E6D3C"/>
    <w:rsid w:val="000F3EF8"/>
    <w:rsid w:val="000F40A3"/>
    <w:rsid w:val="000F5F4E"/>
    <w:rsid w:val="000F6EA2"/>
    <w:rsid w:val="00100A54"/>
    <w:rsid w:val="0010150F"/>
    <w:rsid w:val="0010484E"/>
    <w:rsid w:val="00105C02"/>
    <w:rsid w:val="0011021A"/>
    <w:rsid w:val="00110C98"/>
    <w:rsid w:val="00113FC7"/>
    <w:rsid w:val="0011512C"/>
    <w:rsid w:val="0011661C"/>
    <w:rsid w:val="00116FF1"/>
    <w:rsid w:val="00121829"/>
    <w:rsid w:val="001228C9"/>
    <w:rsid w:val="001257B8"/>
    <w:rsid w:val="0012614D"/>
    <w:rsid w:val="0013073C"/>
    <w:rsid w:val="00131972"/>
    <w:rsid w:val="00133437"/>
    <w:rsid w:val="00134415"/>
    <w:rsid w:val="00151408"/>
    <w:rsid w:val="001524A7"/>
    <w:rsid w:val="001536C7"/>
    <w:rsid w:val="00154CF6"/>
    <w:rsid w:val="00156071"/>
    <w:rsid w:val="001564B0"/>
    <w:rsid w:val="00161151"/>
    <w:rsid w:val="001633A3"/>
    <w:rsid w:val="00165F76"/>
    <w:rsid w:val="00170A83"/>
    <w:rsid w:val="00171B85"/>
    <w:rsid w:val="001751BC"/>
    <w:rsid w:val="00176DEC"/>
    <w:rsid w:val="00180151"/>
    <w:rsid w:val="00182B46"/>
    <w:rsid w:val="00182D13"/>
    <w:rsid w:val="00184B3F"/>
    <w:rsid w:val="00191BB4"/>
    <w:rsid w:val="001969D1"/>
    <w:rsid w:val="001A2EAD"/>
    <w:rsid w:val="001A6E91"/>
    <w:rsid w:val="001A7789"/>
    <w:rsid w:val="001A7C0B"/>
    <w:rsid w:val="001B17EB"/>
    <w:rsid w:val="001B3771"/>
    <w:rsid w:val="001B5619"/>
    <w:rsid w:val="001C14D3"/>
    <w:rsid w:val="001C31D5"/>
    <w:rsid w:val="001C4395"/>
    <w:rsid w:val="001C4F29"/>
    <w:rsid w:val="001C5CDF"/>
    <w:rsid w:val="001D72E4"/>
    <w:rsid w:val="001D7FA6"/>
    <w:rsid w:val="001E0D73"/>
    <w:rsid w:val="001E1AF4"/>
    <w:rsid w:val="001E25F2"/>
    <w:rsid w:val="001E33AE"/>
    <w:rsid w:val="001F135A"/>
    <w:rsid w:val="001F4321"/>
    <w:rsid w:val="0020320A"/>
    <w:rsid w:val="00204059"/>
    <w:rsid w:val="00206746"/>
    <w:rsid w:val="002071B5"/>
    <w:rsid w:val="00210CBD"/>
    <w:rsid w:val="00211706"/>
    <w:rsid w:val="002121C3"/>
    <w:rsid w:val="0021259E"/>
    <w:rsid w:val="0021265F"/>
    <w:rsid w:val="00214D18"/>
    <w:rsid w:val="002151DC"/>
    <w:rsid w:val="0021662F"/>
    <w:rsid w:val="0021695B"/>
    <w:rsid w:val="0022078F"/>
    <w:rsid w:val="00221F81"/>
    <w:rsid w:val="0022226B"/>
    <w:rsid w:val="00222C6A"/>
    <w:rsid w:val="0022529D"/>
    <w:rsid w:val="002254B5"/>
    <w:rsid w:val="00227415"/>
    <w:rsid w:val="00230ACC"/>
    <w:rsid w:val="00235961"/>
    <w:rsid w:val="0024225B"/>
    <w:rsid w:val="00247570"/>
    <w:rsid w:val="00250E38"/>
    <w:rsid w:val="00251321"/>
    <w:rsid w:val="002523BC"/>
    <w:rsid w:val="002610C3"/>
    <w:rsid w:val="00262DC7"/>
    <w:rsid w:val="00265657"/>
    <w:rsid w:val="00267A4E"/>
    <w:rsid w:val="00267DD7"/>
    <w:rsid w:val="00272C76"/>
    <w:rsid w:val="002737A5"/>
    <w:rsid w:val="0027592E"/>
    <w:rsid w:val="00276307"/>
    <w:rsid w:val="002775C9"/>
    <w:rsid w:val="00282169"/>
    <w:rsid w:val="002870DB"/>
    <w:rsid w:val="00290AC9"/>
    <w:rsid w:val="00292B05"/>
    <w:rsid w:val="002938BC"/>
    <w:rsid w:val="00293915"/>
    <w:rsid w:val="00295526"/>
    <w:rsid w:val="00295BCF"/>
    <w:rsid w:val="00295EA5"/>
    <w:rsid w:val="002966E6"/>
    <w:rsid w:val="002A09B7"/>
    <w:rsid w:val="002A328B"/>
    <w:rsid w:val="002B27B2"/>
    <w:rsid w:val="002B2ABE"/>
    <w:rsid w:val="002B54BD"/>
    <w:rsid w:val="002B5569"/>
    <w:rsid w:val="002B7336"/>
    <w:rsid w:val="002B7953"/>
    <w:rsid w:val="002C1324"/>
    <w:rsid w:val="002C3BC2"/>
    <w:rsid w:val="002C56EC"/>
    <w:rsid w:val="002C76EE"/>
    <w:rsid w:val="002D4768"/>
    <w:rsid w:val="002D7022"/>
    <w:rsid w:val="002E016A"/>
    <w:rsid w:val="002E3945"/>
    <w:rsid w:val="002E4DDF"/>
    <w:rsid w:val="002E7FE3"/>
    <w:rsid w:val="002F0D05"/>
    <w:rsid w:val="002F4D73"/>
    <w:rsid w:val="002F6C60"/>
    <w:rsid w:val="00300E03"/>
    <w:rsid w:val="00304736"/>
    <w:rsid w:val="0030486A"/>
    <w:rsid w:val="00304E61"/>
    <w:rsid w:val="003154CD"/>
    <w:rsid w:val="00316C13"/>
    <w:rsid w:val="00321B2B"/>
    <w:rsid w:val="00325E5A"/>
    <w:rsid w:val="00327EBE"/>
    <w:rsid w:val="00332821"/>
    <w:rsid w:val="00333F36"/>
    <w:rsid w:val="0033485A"/>
    <w:rsid w:val="0033520A"/>
    <w:rsid w:val="00340E14"/>
    <w:rsid w:val="00343F23"/>
    <w:rsid w:val="003443FA"/>
    <w:rsid w:val="00344A4B"/>
    <w:rsid w:val="00345F5A"/>
    <w:rsid w:val="00354B2E"/>
    <w:rsid w:val="00357A64"/>
    <w:rsid w:val="00357CC2"/>
    <w:rsid w:val="003606C5"/>
    <w:rsid w:val="00360DC9"/>
    <w:rsid w:val="00360EF5"/>
    <w:rsid w:val="00366D34"/>
    <w:rsid w:val="00366F7A"/>
    <w:rsid w:val="00366FB4"/>
    <w:rsid w:val="00370A7F"/>
    <w:rsid w:val="0037368F"/>
    <w:rsid w:val="003738BE"/>
    <w:rsid w:val="0037431C"/>
    <w:rsid w:val="003761DA"/>
    <w:rsid w:val="00376A09"/>
    <w:rsid w:val="0038404C"/>
    <w:rsid w:val="00384EE5"/>
    <w:rsid w:val="003865BE"/>
    <w:rsid w:val="0039104C"/>
    <w:rsid w:val="0039338B"/>
    <w:rsid w:val="00394622"/>
    <w:rsid w:val="0039595B"/>
    <w:rsid w:val="003974B8"/>
    <w:rsid w:val="003A427B"/>
    <w:rsid w:val="003A74F8"/>
    <w:rsid w:val="003B3A9F"/>
    <w:rsid w:val="003B478B"/>
    <w:rsid w:val="003B523C"/>
    <w:rsid w:val="003B63B8"/>
    <w:rsid w:val="003B6ACF"/>
    <w:rsid w:val="003B7314"/>
    <w:rsid w:val="003C07FD"/>
    <w:rsid w:val="003C155E"/>
    <w:rsid w:val="003C6B78"/>
    <w:rsid w:val="003C7E81"/>
    <w:rsid w:val="003D0FB8"/>
    <w:rsid w:val="003D2153"/>
    <w:rsid w:val="003E2874"/>
    <w:rsid w:val="003E38BD"/>
    <w:rsid w:val="003E3BA0"/>
    <w:rsid w:val="003E4DCC"/>
    <w:rsid w:val="003E5E5C"/>
    <w:rsid w:val="003E77E7"/>
    <w:rsid w:val="003F19C9"/>
    <w:rsid w:val="003F4DFC"/>
    <w:rsid w:val="003F57E2"/>
    <w:rsid w:val="003F754E"/>
    <w:rsid w:val="004025EE"/>
    <w:rsid w:val="00403CC8"/>
    <w:rsid w:val="0040714B"/>
    <w:rsid w:val="00410AC2"/>
    <w:rsid w:val="004123FC"/>
    <w:rsid w:val="00413D8C"/>
    <w:rsid w:val="00420D17"/>
    <w:rsid w:val="00421C45"/>
    <w:rsid w:val="00422300"/>
    <w:rsid w:val="0042262A"/>
    <w:rsid w:val="00424EC0"/>
    <w:rsid w:val="00425174"/>
    <w:rsid w:val="00433BAA"/>
    <w:rsid w:val="00434A0A"/>
    <w:rsid w:val="00434E9A"/>
    <w:rsid w:val="00436C93"/>
    <w:rsid w:val="00437501"/>
    <w:rsid w:val="00452C5D"/>
    <w:rsid w:val="00454D84"/>
    <w:rsid w:val="00457E62"/>
    <w:rsid w:val="0046077A"/>
    <w:rsid w:val="004613D0"/>
    <w:rsid w:val="00464D85"/>
    <w:rsid w:val="00466AA5"/>
    <w:rsid w:val="00470C58"/>
    <w:rsid w:val="00471EE9"/>
    <w:rsid w:val="00472347"/>
    <w:rsid w:val="004729C1"/>
    <w:rsid w:val="004764EF"/>
    <w:rsid w:val="00476C53"/>
    <w:rsid w:val="00485E7A"/>
    <w:rsid w:val="00493426"/>
    <w:rsid w:val="004949D8"/>
    <w:rsid w:val="004A29F9"/>
    <w:rsid w:val="004A3BDB"/>
    <w:rsid w:val="004A4B4A"/>
    <w:rsid w:val="004B187F"/>
    <w:rsid w:val="004B1983"/>
    <w:rsid w:val="004B21AD"/>
    <w:rsid w:val="004B29AF"/>
    <w:rsid w:val="004B378B"/>
    <w:rsid w:val="004B4E8F"/>
    <w:rsid w:val="004B6D81"/>
    <w:rsid w:val="004C0625"/>
    <w:rsid w:val="004C0A40"/>
    <w:rsid w:val="004C4841"/>
    <w:rsid w:val="004D1B9D"/>
    <w:rsid w:val="004D4F4A"/>
    <w:rsid w:val="004D4F81"/>
    <w:rsid w:val="004E356C"/>
    <w:rsid w:val="004E37B5"/>
    <w:rsid w:val="004F1231"/>
    <w:rsid w:val="004F1BC6"/>
    <w:rsid w:val="004F6CB7"/>
    <w:rsid w:val="00500D57"/>
    <w:rsid w:val="0050151E"/>
    <w:rsid w:val="00501E73"/>
    <w:rsid w:val="0050320D"/>
    <w:rsid w:val="005059D9"/>
    <w:rsid w:val="005063A7"/>
    <w:rsid w:val="00506A50"/>
    <w:rsid w:val="005074E9"/>
    <w:rsid w:val="005107EF"/>
    <w:rsid w:val="00510EC4"/>
    <w:rsid w:val="00513A6F"/>
    <w:rsid w:val="00513ABB"/>
    <w:rsid w:val="00515050"/>
    <w:rsid w:val="00515AA9"/>
    <w:rsid w:val="005172C9"/>
    <w:rsid w:val="00521F2A"/>
    <w:rsid w:val="00522736"/>
    <w:rsid w:val="005270E3"/>
    <w:rsid w:val="00527DEE"/>
    <w:rsid w:val="0053408E"/>
    <w:rsid w:val="00535373"/>
    <w:rsid w:val="00536C37"/>
    <w:rsid w:val="0054381F"/>
    <w:rsid w:val="00556732"/>
    <w:rsid w:val="00556DCA"/>
    <w:rsid w:val="005609A4"/>
    <w:rsid w:val="00564AE3"/>
    <w:rsid w:val="00564B62"/>
    <w:rsid w:val="0056736F"/>
    <w:rsid w:val="00567B22"/>
    <w:rsid w:val="00570865"/>
    <w:rsid w:val="005714FF"/>
    <w:rsid w:val="00573FB6"/>
    <w:rsid w:val="00574A92"/>
    <w:rsid w:val="00580FC7"/>
    <w:rsid w:val="00583379"/>
    <w:rsid w:val="00585B73"/>
    <w:rsid w:val="00590E7C"/>
    <w:rsid w:val="005956FE"/>
    <w:rsid w:val="00597891"/>
    <w:rsid w:val="005A1212"/>
    <w:rsid w:val="005A24DC"/>
    <w:rsid w:val="005A61AD"/>
    <w:rsid w:val="005B1333"/>
    <w:rsid w:val="005B251C"/>
    <w:rsid w:val="005B4A26"/>
    <w:rsid w:val="005C13BA"/>
    <w:rsid w:val="005C6293"/>
    <w:rsid w:val="005D1A03"/>
    <w:rsid w:val="005D7CB0"/>
    <w:rsid w:val="005E41BC"/>
    <w:rsid w:val="005E4D86"/>
    <w:rsid w:val="005E5268"/>
    <w:rsid w:val="005E700B"/>
    <w:rsid w:val="005F261A"/>
    <w:rsid w:val="005F3C03"/>
    <w:rsid w:val="005F52D2"/>
    <w:rsid w:val="005F6114"/>
    <w:rsid w:val="005F6BD8"/>
    <w:rsid w:val="005F7C69"/>
    <w:rsid w:val="00600EE7"/>
    <w:rsid w:val="006020BD"/>
    <w:rsid w:val="00602579"/>
    <w:rsid w:val="006110CC"/>
    <w:rsid w:val="00611297"/>
    <w:rsid w:val="0061366E"/>
    <w:rsid w:val="00614140"/>
    <w:rsid w:val="00616BD5"/>
    <w:rsid w:val="00617208"/>
    <w:rsid w:val="00621DE1"/>
    <w:rsid w:val="00623008"/>
    <w:rsid w:val="006261C1"/>
    <w:rsid w:val="0062666F"/>
    <w:rsid w:val="006272C0"/>
    <w:rsid w:val="00633318"/>
    <w:rsid w:val="00634852"/>
    <w:rsid w:val="00634BA0"/>
    <w:rsid w:val="0063730B"/>
    <w:rsid w:val="0064570E"/>
    <w:rsid w:val="0064756C"/>
    <w:rsid w:val="006477E8"/>
    <w:rsid w:val="006572BD"/>
    <w:rsid w:val="00662904"/>
    <w:rsid w:val="00663A7D"/>
    <w:rsid w:val="00664C39"/>
    <w:rsid w:val="00664EA6"/>
    <w:rsid w:val="00670A9C"/>
    <w:rsid w:val="00670F39"/>
    <w:rsid w:val="00671D5A"/>
    <w:rsid w:val="00672EE1"/>
    <w:rsid w:val="00681FBB"/>
    <w:rsid w:val="00682AA9"/>
    <w:rsid w:val="00693DC0"/>
    <w:rsid w:val="006950F4"/>
    <w:rsid w:val="00695D93"/>
    <w:rsid w:val="006A472E"/>
    <w:rsid w:val="006A5BCA"/>
    <w:rsid w:val="006A6686"/>
    <w:rsid w:val="006A9829"/>
    <w:rsid w:val="006B0A89"/>
    <w:rsid w:val="006B218F"/>
    <w:rsid w:val="006B2B45"/>
    <w:rsid w:val="006B6432"/>
    <w:rsid w:val="006B67AB"/>
    <w:rsid w:val="006B7C44"/>
    <w:rsid w:val="006C2612"/>
    <w:rsid w:val="006C5B50"/>
    <w:rsid w:val="006C5DA3"/>
    <w:rsid w:val="006C6DFD"/>
    <w:rsid w:val="006C769B"/>
    <w:rsid w:val="006D6FF6"/>
    <w:rsid w:val="006E113F"/>
    <w:rsid w:val="006E194A"/>
    <w:rsid w:val="006E23B3"/>
    <w:rsid w:val="006E4EEC"/>
    <w:rsid w:val="006E74D1"/>
    <w:rsid w:val="006E7570"/>
    <w:rsid w:val="006E77EC"/>
    <w:rsid w:val="006F1816"/>
    <w:rsid w:val="006F1D5B"/>
    <w:rsid w:val="006F2DF6"/>
    <w:rsid w:val="006F3E23"/>
    <w:rsid w:val="00702372"/>
    <w:rsid w:val="00702F82"/>
    <w:rsid w:val="00707B0B"/>
    <w:rsid w:val="007105F4"/>
    <w:rsid w:val="00710766"/>
    <w:rsid w:val="007117FE"/>
    <w:rsid w:val="00713108"/>
    <w:rsid w:val="00713443"/>
    <w:rsid w:val="007140ED"/>
    <w:rsid w:val="00714E44"/>
    <w:rsid w:val="00716B55"/>
    <w:rsid w:val="00721D13"/>
    <w:rsid w:val="00723411"/>
    <w:rsid w:val="00724277"/>
    <w:rsid w:val="007251FA"/>
    <w:rsid w:val="00727772"/>
    <w:rsid w:val="0073022B"/>
    <w:rsid w:val="00730771"/>
    <w:rsid w:val="0073298A"/>
    <w:rsid w:val="00735919"/>
    <w:rsid w:val="007377AB"/>
    <w:rsid w:val="00745F0E"/>
    <w:rsid w:val="007473F9"/>
    <w:rsid w:val="00751299"/>
    <w:rsid w:val="00753333"/>
    <w:rsid w:val="007633B2"/>
    <w:rsid w:val="00765179"/>
    <w:rsid w:val="00772FA4"/>
    <w:rsid w:val="007740A0"/>
    <w:rsid w:val="007801E8"/>
    <w:rsid w:val="00781ACA"/>
    <w:rsid w:val="00784F6C"/>
    <w:rsid w:val="00786DEC"/>
    <w:rsid w:val="00790775"/>
    <w:rsid w:val="007908FB"/>
    <w:rsid w:val="00791D6A"/>
    <w:rsid w:val="00793524"/>
    <w:rsid w:val="00794153"/>
    <w:rsid w:val="00795046"/>
    <w:rsid w:val="007963FB"/>
    <w:rsid w:val="00797829"/>
    <w:rsid w:val="007A27CB"/>
    <w:rsid w:val="007A4E2A"/>
    <w:rsid w:val="007A707B"/>
    <w:rsid w:val="007B18C0"/>
    <w:rsid w:val="007B3A93"/>
    <w:rsid w:val="007B5739"/>
    <w:rsid w:val="007C0017"/>
    <w:rsid w:val="007C0129"/>
    <w:rsid w:val="007C0FE3"/>
    <w:rsid w:val="007C10CF"/>
    <w:rsid w:val="007C1171"/>
    <w:rsid w:val="007C152E"/>
    <w:rsid w:val="007C337F"/>
    <w:rsid w:val="007C384B"/>
    <w:rsid w:val="007C6650"/>
    <w:rsid w:val="007D015B"/>
    <w:rsid w:val="007D3A16"/>
    <w:rsid w:val="007D479F"/>
    <w:rsid w:val="007D7A5F"/>
    <w:rsid w:val="007E0722"/>
    <w:rsid w:val="007E18C5"/>
    <w:rsid w:val="007E2381"/>
    <w:rsid w:val="007E4ECC"/>
    <w:rsid w:val="007E7A77"/>
    <w:rsid w:val="007E7AAC"/>
    <w:rsid w:val="007E7E43"/>
    <w:rsid w:val="007F3628"/>
    <w:rsid w:val="007F7A4B"/>
    <w:rsid w:val="00801748"/>
    <w:rsid w:val="008032F0"/>
    <w:rsid w:val="0080510F"/>
    <w:rsid w:val="008054F1"/>
    <w:rsid w:val="0080588E"/>
    <w:rsid w:val="00810432"/>
    <w:rsid w:val="008128E3"/>
    <w:rsid w:val="00815C3A"/>
    <w:rsid w:val="008243B1"/>
    <w:rsid w:val="00827F90"/>
    <w:rsid w:val="0083207B"/>
    <w:rsid w:val="00835E88"/>
    <w:rsid w:val="0084444D"/>
    <w:rsid w:val="00844FAA"/>
    <w:rsid w:val="00845AA5"/>
    <w:rsid w:val="0084722B"/>
    <w:rsid w:val="00850397"/>
    <w:rsid w:val="00855A0B"/>
    <w:rsid w:val="00863E25"/>
    <w:rsid w:val="008652A3"/>
    <w:rsid w:val="00870C14"/>
    <w:rsid w:val="00874F07"/>
    <w:rsid w:val="00876E1A"/>
    <w:rsid w:val="00877BD0"/>
    <w:rsid w:val="00884335"/>
    <w:rsid w:val="00890229"/>
    <w:rsid w:val="00890B0C"/>
    <w:rsid w:val="008914D7"/>
    <w:rsid w:val="00891643"/>
    <w:rsid w:val="00892BCE"/>
    <w:rsid w:val="00892E1A"/>
    <w:rsid w:val="008961EC"/>
    <w:rsid w:val="008964D0"/>
    <w:rsid w:val="00897553"/>
    <w:rsid w:val="00897E28"/>
    <w:rsid w:val="008A53C8"/>
    <w:rsid w:val="008B1377"/>
    <w:rsid w:val="008B35EE"/>
    <w:rsid w:val="008B3BF6"/>
    <w:rsid w:val="008B6FD1"/>
    <w:rsid w:val="008B7930"/>
    <w:rsid w:val="008C034B"/>
    <w:rsid w:val="008C1EFF"/>
    <w:rsid w:val="008C4A00"/>
    <w:rsid w:val="008C5868"/>
    <w:rsid w:val="008C7580"/>
    <w:rsid w:val="008C7C22"/>
    <w:rsid w:val="008D4B72"/>
    <w:rsid w:val="008D4EA6"/>
    <w:rsid w:val="008E0F3D"/>
    <w:rsid w:val="008E37E8"/>
    <w:rsid w:val="008E44D3"/>
    <w:rsid w:val="008E4EBD"/>
    <w:rsid w:val="008E660F"/>
    <w:rsid w:val="008F594B"/>
    <w:rsid w:val="00900331"/>
    <w:rsid w:val="00900D94"/>
    <w:rsid w:val="0090324A"/>
    <w:rsid w:val="00906054"/>
    <w:rsid w:val="009115C4"/>
    <w:rsid w:val="00911FA8"/>
    <w:rsid w:val="009120DD"/>
    <w:rsid w:val="009134A2"/>
    <w:rsid w:val="00915276"/>
    <w:rsid w:val="00920214"/>
    <w:rsid w:val="00921B07"/>
    <w:rsid w:val="0092592E"/>
    <w:rsid w:val="009361C3"/>
    <w:rsid w:val="0093667C"/>
    <w:rsid w:val="00936963"/>
    <w:rsid w:val="009402EB"/>
    <w:rsid w:val="009418B3"/>
    <w:rsid w:val="00947AEE"/>
    <w:rsid w:val="00951A6D"/>
    <w:rsid w:val="00952EBA"/>
    <w:rsid w:val="00954EF6"/>
    <w:rsid w:val="0095531E"/>
    <w:rsid w:val="00956F6C"/>
    <w:rsid w:val="00960B4E"/>
    <w:rsid w:val="00965CAC"/>
    <w:rsid w:val="009665EA"/>
    <w:rsid w:val="00966A9B"/>
    <w:rsid w:val="00967DB8"/>
    <w:rsid w:val="0097142B"/>
    <w:rsid w:val="00972619"/>
    <w:rsid w:val="00973B89"/>
    <w:rsid w:val="00973BB9"/>
    <w:rsid w:val="009740F9"/>
    <w:rsid w:val="00975353"/>
    <w:rsid w:val="009765C0"/>
    <w:rsid w:val="00977B4E"/>
    <w:rsid w:val="009851F7"/>
    <w:rsid w:val="009857B0"/>
    <w:rsid w:val="00985E31"/>
    <w:rsid w:val="009865C3"/>
    <w:rsid w:val="0099186F"/>
    <w:rsid w:val="00993FFC"/>
    <w:rsid w:val="00995B35"/>
    <w:rsid w:val="00995CB6"/>
    <w:rsid w:val="00996C0C"/>
    <w:rsid w:val="009A04A8"/>
    <w:rsid w:val="009A176C"/>
    <w:rsid w:val="009A1991"/>
    <w:rsid w:val="009A2A7F"/>
    <w:rsid w:val="009A5642"/>
    <w:rsid w:val="009A65EB"/>
    <w:rsid w:val="009B530B"/>
    <w:rsid w:val="009D19B9"/>
    <w:rsid w:val="009D3AD3"/>
    <w:rsid w:val="009D5BBB"/>
    <w:rsid w:val="009E0343"/>
    <w:rsid w:val="009E038E"/>
    <w:rsid w:val="009F09C3"/>
    <w:rsid w:val="009F150C"/>
    <w:rsid w:val="009F3BC5"/>
    <w:rsid w:val="009F5E6E"/>
    <w:rsid w:val="009F6C7B"/>
    <w:rsid w:val="00A12B3C"/>
    <w:rsid w:val="00A25C17"/>
    <w:rsid w:val="00A278B9"/>
    <w:rsid w:val="00A40405"/>
    <w:rsid w:val="00A404AF"/>
    <w:rsid w:val="00A4226B"/>
    <w:rsid w:val="00A4390C"/>
    <w:rsid w:val="00A45679"/>
    <w:rsid w:val="00A46F60"/>
    <w:rsid w:val="00A51213"/>
    <w:rsid w:val="00A51ECE"/>
    <w:rsid w:val="00A52221"/>
    <w:rsid w:val="00A52824"/>
    <w:rsid w:val="00A551F6"/>
    <w:rsid w:val="00A55E66"/>
    <w:rsid w:val="00A60AFA"/>
    <w:rsid w:val="00A62EA0"/>
    <w:rsid w:val="00A64343"/>
    <w:rsid w:val="00A64E6C"/>
    <w:rsid w:val="00A67419"/>
    <w:rsid w:val="00A70CEA"/>
    <w:rsid w:val="00A82BCC"/>
    <w:rsid w:val="00A84252"/>
    <w:rsid w:val="00A9077C"/>
    <w:rsid w:val="00A96268"/>
    <w:rsid w:val="00AA00F5"/>
    <w:rsid w:val="00AA0136"/>
    <w:rsid w:val="00AA0A0C"/>
    <w:rsid w:val="00AA10D6"/>
    <w:rsid w:val="00AA3946"/>
    <w:rsid w:val="00AB1D69"/>
    <w:rsid w:val="00AB251A"/>
    <w:rsid w:val="00AB30FA"/>
    <w:rsid w:val="00AB3B7E"/>
    <w:rsid w:val="00AB72E0"/>
    <w:rsid w:val="00AB7525"/>
    <w:rsid w:val="00AC204E"/>
    <w:rsid w:val="00AC5BAC"/>
    <w:rsid w:val="00AD00DF"/>
    <w:rsid w:val="00AD15FB"/>
    <w:rsid w:val="00AD1AC5"/>
    <w:rsid w:val="00AD1D16"/>
    <w:rsid w:val="00AD26DC"/>
    <w:rsid w:val="00AD2B1D"/>
    <w:rsid w:val="00AD3CBA"/>
    <w:rsid w:val="00AD516D"/>
    <w:rsid w:val="00AD523F"/>
    <w:rsid w:val="00AD7139"/>
    <w:rsid w:val="00AE3E33"/>
    <w:rsid w:val="00AE5C0E"/>
    <w:rsid w:val="00AF372F"/>
    <w:rsid w:val="00AF508E"/>
    <w:rsid w:val="00AF6BC5"/>
    <w:rsid w:val="00AF6D8E"/>
    <w:rsid w:val="00B01D04"/>
    <w:rsid w:val="00B038E6"/>
    <w:rsid w:val="00B05025"/>
    <w:rsid w:val="00B05C76"/>
    <w:rsid w:val="00B12A19"/>
    <w:rsid w:val="00B131CB"/>
    <w:rsid w:val="00B13667"/>
    <w:rsid w:val="00B13FA2"/>
    <w:rsid w:val="00B14AF8"/>
    <w:rsid w:val="00B16E8C"/>
    <w:rsid w:val="00B178EA"/>
    <w:rsid w:val="00B22CDE"/>
    <w:rsid w:val="00B23FD8"/>
    <w:rsid w:val="00B256E7"/>
    <w:rsid w:val="00B26822"/>
    <w:rsid w:val="00B316EE"/>
    <w:rsid w:val="00B34CCA"/>
    <w:rsid w:val="00B40886"/>
    <w:rsid w:val="00B418F3"/>
    <w:rsid w:val="00B51662"/>
    <w:rsid w:val="00B51FE7"/>
    <w:rsid w:val="00B55029"/>
    <w:rsid w:val="00B65D2E"/>
    <w:rsid w:val="00B678E6"/>
    <w:rsid w:val="00B736A7"/>
    <w:rsid w:val="00B742B7"/>
    <w:rsid w:val="00B7482B"/>
    <w:rsid w:val="00B74CFF"/>
    <w:rsid w:val="00B74E92"/>
    <w:rsid w:val="00B8145D"/>
    <w:rsid w:val="00B83860"/>
    <w:rsid w:val="00B84C49"/>
    <w:rsid w:val="00B851CA"/>
    <w:rsid w:val="00B85390"/>
    <w:rsid w:val="00B86695"/>
    <w:rsid w:val="00B87110"/>
    <w:rsid w:val="00B87AB6"/>
    <w:rsid w:val="00B953D3"/>
    <w:rsid w:val="00B95C2F"/>
    <w:rsid w:val="00B96B93"/>
    <w:rsid w:val="00BA0431"/>
    <w:rsid w:val="00BA0DED"/>
    <w:rsid w:val="00BA2E28"/>
    <w:rsid w:val="00BA61F8"/>
    <w:rsid w:val="00BB14A8"/>
    <w:rsid w:val="00BC0CF6"/>
    <w:rsid w:val="00BC61E2"/>
    <w:rsid w:val="00BC62D8"/>
    <w:rsid w:val="00BC6500"/>
    <w:rsid w:val="00BC6FFF"/>
    <w:rsid w:val="00BD1D04"/>
    <w:rsid w:val="00BD22D5"/>
    <w:rsid w:val="00BD29FE"/>
    <w:rsid w:val="00BE20C4"/>
    <w:rsid w:val="00BE2A65"/>
    <w:rsid w:val="00BE42DE"/>
    <w:rsid w:val="00BE4FA7"/>
    <w:rsid w:val="00BF17A7"/>
    <w:rsid w:val="00BF2C04"/>
    <w:rsid w:val="00BF349E"/>
    <w:rsid w:val="00BF7198"/>
    <w:rsid w:val="00BF7F29"/>
    <w:rsid w:val="00C03988"/>
    <w:rsid w:val="00C04668"/>
    <w:rsid w:val="00C0586F"/>
    <w:rsid w:val="00C05D57"/>
    <w:rsid w:val="00C104B2"/>
    <w:rsid w:val="00C1151A"/>
    <w:rsid w:val="00C11B0F"/>
    <w:rsid w:val="00C15212"/>
    <w:rsid w:val="00C17951"/>
    <w:rsid w:val="00C210FF"/>
    <w:rsid w:val="00C230AF"/>
    <w:rsid w:val="00C24852"/>
    <w:rsid w:val="00C25331"/>
    <w:rsid w:val="00C25E66"/>
    <w:rsid w:val="00C3498A"/>
    <w:rsid w:val="00C364EB"/>
    <w:rsid w:val="00C37A34"/>
    <w:rsid w:val="00C37E5D"/>
    <w:rsid w:val="00C40246"/>
    <w:rsid w:val="00C4227A"/>
    <w:rsid w:val="00C42435"/>
    <w:rsid w:val="00C42E79"/>
    <w:rsid w:val="00C43D6E"/>
    <w:rsid w:val="00C46121"/>
    <w:rsid w:val="00C475D8"/>
    <w:rsid w:val="00C54FCE"/>
    <w:rsid w:val="00C55150"/>
    <w:rsid w:val="00C579FB"/>
    <w:rsid w:val="00C61FE0"/>
    <w:rsid w:val="00C634F5"/>
    <w:rsid w:val="00C64CFD"/>
    <w:rsid w:val="00C67D45"/>
    <w:rsid w:val="00C72A48"/>
    <w:rsid w:val="00C734EA"/>
    <w:rsid w:val="00C73A30"/>
    <w:rsid w:val="00C73BFF"/>
    <w:rsid w:val="00C74EBC"/>
    <w:rsid w:val="00C76865"/>
    <w:rsid w:val="00C84529"/>
    <w:rsid w:val="00C86B34"/>
    <w:rsid w:val="00C86C9B"/>
    <w:rsid w:val="00C87D95"/>
    <w:rsid w:val="00C9305E"/>
    <w:rsid w:val="00C93675"/>
    <w:rsid w:val="00C94059"/>
    <w:rsid w:val="00C974B3"/>
    <w:rsid w:val="00CA0AD5"/>
    <w:rsid w:val="00CA27B0"/>
    <w:rsid w:val="00CA2C39"/>
    <w:rsid w:val="00CA2C74"/>
    <w:rsid w:val="00CA300C"/>
    <w:rsid w:val="00CA3ADD"/>
    <w:rsid w:val="00CA5311"/>
    <w:rsid w:val="00CB406E"/>
    <w:rsid w:val="00CB5635"/>
    <w:rsid w:val="00CB6F27"/>
    <w:rsid w:val="00CB783D"/>
    <w:rsid w:val="00CC0E08"/>
    <w:rsid w:val="00CC289B"/>
    <w:rsid w:val="00CC4FB8"/>
    <w:rsid w:val="00CC5F39"/>
    <w:rsid w:val="00CC6779"/>
    <w:rsid w:val="00CC678D"/>
    <w:rsid w:val="00CC78A2"/>
    <w:rsid w:val="00CD27BA"/>
    <w:rsid w:val="00CD4A13"/>
    <w:rsid w:val="00CD4DDC"/>
    <w:rsid w:val="00CE5846"/>
    <w:rsid w:val="00CE7C9A"/>
    <w:rsid w:val="00CF0C80"/>
    <w:rsid w:val="00CF118E"/>
    <w:rsid w:val="00CF1E63"/>
    <w:rsid w:val="00CF39B3"/>
    <w:rsid w:val="00CF7AF0"/>
    <w:rsid w:val="00D04840"/>
    <w:rsid w:val="00D05A7C"/>
    <w:rsid w:val="00D06A11"/>
    <w:rsid w:val="00D10011"/>
    <w:rsid w:val="00D11DCE"/>
    <w:rsid w:val="00D13B38"/>
    <w:rsid w:val="00D13F4B"/>
    <w:rsid w:val="00D14B2F"/>
    <w:rsid w:val="00D177A8"/>
    <w:rsid w:val="00D17C08"/>
    <w:rsid w:val="00D231DD"/>
    <w:rsid w:val="00D235CE"/>
    <w:rsid w:val="00D30E63"/>
    <w:rsid w:val="00D3178C"/>
    <w:rsid w:val="00D36F93"/>
    <w:rsid w:val="00D37B9A"/>
    <w:rsid w:val="00D41C7C"/>
    <w:rsid w:val="00D42460"/>
    <w:rsid w:val="00D4254D"/>
    <w:rsid w:val="00D464B5"/>
    <w:rsid w:val="00D50441"/>
    <w:rsid w:val="00D522D3"/>
    <w:rsid w:val="00D532C0"/>
    <w:rsid w:val="00D578C8"/>
    <w:rsid w:val="00D6012C"/>
    <w:rsid w:val="00D612E3"/>
    <w:rsid w:val="00D63851"/>
    <w:rsid w:val="00D640BE"/>
    <w:rsid w:val="00D66510"/>
    <w:rsid w:val="00D71F62"/>
    <w:rsid w:val="00D74BBE"/>
    <w:rsid w:val="00D83218"/>
    <w:rsid w:val="00D841AD"/>
    <w:rsid w:val="00D875FE"/>
    <w:rsid w:val="00D913E5"/>
    <w:rsid w:val="00D92411"/>
    <w:rsid w:val="00D92FF1"/>
    <w:rsid w:val="00D9381D"/>
    <w:rsid w:val="00D95750"/>
    <w:rsid w:val="00D96509"/>
    <w:rsid w:val="00D96D0D"/>
    <w:rsid w:val="00DA286B"/>
    <w:rsid w:val="00DA410F"/>
    <w:rsid w:val="00DA59FF"/>
    <w:rsid w:val="00DB62BC"/>
    <w:rsid w:val="00DB6753"/>
    <w:rsid w:val="00DC2EA1"/>
    <w:rsid w:val="00DC3E96"/>
    <w:rsid w:val="00DC56F6"/>
    <w:rsid w:val="00DC65B1"/>
    <w:rsid w:val="00DD32B0"/>
    <w:rsid w:val="00DE3C34"/>
    <w:rsid w:val="00DE49B6"/>
    <w:rsid w:val="00DE5E11"/>
    <w:rsid w:val="00DE5FF6"/>
    <w:rsid w:val="00DF45B2"/>
    <w:rsid w:val="00E00149"/>
    <w:rsid w:val="00E012CB"/>
    <w:rsid w:val="00E016E1"/>
    <w:rsid w:val="00E07CD2"/>
    <w:rsid w:val="00E12354"/>
    <w:rsid w:val="00E132FD"/>
    <w:rsid w:val="00E139AD"/>
    <w:rsid w:val="00E1585B"/>
    <w:rsid w:val="00E2030C"/>
    <w:rsid w:val="00E21446"/>
    <w:rsid w:val="00E22F6A"/>
    <w:rsid w:val="00E249D8"/>
    <w:rsid w:val="00E25A58"/>
    <w:rsid w:val="00E33977"/>
    <w:rsid w:val="00E35B61"/>
    <w:rsid w:val="00E43F8E"/>
    <w:rsid w:val="00E449CF"/>
    <w:rsid w:val="00E45B3A"/>
    <w:rsid w:val="00E53B02"/>
    <w:rsid w:val="00E54F29"/>
    <w:rsid w:val="00E57194"/>
    <w:rsid w:val="00E5789F"/>
    <w:rsid w:val="00E6004E"/>
    <w:rsid w:val="00E6068A"/>
    <w:rsid w:val="00E60E5A"/>
    <w:rsid w:val="00E61CDD"/>
    <w:rsid w:val="00E64E98"/>
    <w:rsid w:val="00E6558B"/>
    <w:rsid w:val="00E70043"/>
    <w:rsid w:val="00E71330"/>
    <w:rsid w:val="00E74295"/>
    <w:rsid w:val="00E7518C"/>
    <w:rsid w:val="00E75451"/>
    <w:rsid w:val="00E763EB"/>
    <w:rsid w:val="00E807C2"/>
    <w:rsid w:val="00E80BCE"/>
    <w:rsid w:val="00E80EC2"/>
    <w:rsid w:val="00E82022"/>
    <w:rsid w:val="00E822D8"/>
    <w:rsid w:val="00E832A1"/>
    <w:rsid w:val="00E864F4"/>
    <w:rsid w:val="00E9007B"/>
    <w:rsid w:val="00E9316B"/>
    <w:rsid w:val="00E936C8"/>
    <w:rsid w:val="00E93903"/>
    <w:rsid w:val="00E95C5B"/>
    <w:rsid w:val="00E9751E"/>
    <w:rsid w:val="00EA6BA4"/>
    <w:rsid w:val="00EB048A"/>
    <w:rsid w:val="00EB24B2"/>
    <w:rsid w:val="00EB2A41"/>
    <w:rsid w:val="00EB503C"/>
    <w:rsid w:val="00EC1CC4"/>
    <w:rsid w:val="00EC2D5E"/>
    <w:rsid w:val="00EC37A3"/>
    <w:rsid w:val="00EC4BFC"/>
    <w:rsid w:val="00EC5131"/>
    <w:rsid w:val="00EC63BD"/>
    <w:rsid w:val="00EC7E2B"/>
    <w:rsid w:val="00ED087C"/>
    <w:rsid w:val="00EE5878"/>
    <w:rsid w:val="00EE5B0A"/>
    <w:rsid w:val="00EE65F3"/>
    <w:rsid w:val="00EE7CE7"/>
    <w:rsid w:val="00EE7E2B"/>
    <w:rsid w:val="00EF2BEC"/>
    <w:rsid w:val="00EF452B"/>
    <w:rsid w:val="00EF4899"/>
    <w:rsid w:val="00F00EDA"/>
    <w:rsid w:val="00F028EB"/>
    <w:rsid w:val="00F04B97"/>
    <w:rsid w:val="00F04E5D"/>
    <w:rsid w:val="00F05470"/>
    <w:rsid w:val="00F06FB4"/>
    <w:rsid w:val="00F21535"/>
    <w:rsid w:val="00F25922"/>
    <w:rsid w:val="00F27112"/>
    <w:rsid w:val="00F316D6"/>
    <w:rsid w:val="00F3268D"/>
    <w:rsid w:val="00F344A2"/>
    <w:rsid w:val="00F3454A"/>
    <w:rsid w:val="00F35EEC"/>
    <w:rsid w:val="00F3699B"/>
    <w:rsid w:val="00F36DA9"/>
    <w:rsid w:val="00F42AFA"/>
    <w:rsid w:val="00F4376C"/>
    <w:rsid w:val="00F45501"/>
    <w:rsid w:val="00F50D55"/>
    <w:rsid w:val="00F51D43"/>
    <w:rsid w:val="00F5226F"/>
    <w:rsid w:val="00F5266F"/>
    <w:rsid w:val="00F556E0"/>
    <w:rsid w:val="00F55D44"/>
    <w:rsid w:val="00F60846"/>
    <w:rsid w:val="00F613D0"/>
    <w:rsid w:val="00F632A4"/>
    <w:rsid w:val="00F665FB"/>
    <w:rsid w:val="00F6732B"/>
    <w:rsid w:val="00F701C8"/>
    <w:rsid w:val="00F73F36"/>
    <w:rsid w:val="00F74C97"/>
    <w:rsid w:val="00F7691A"/>
    <w:rsid w:val="00F803BC"/>
    <w:rsid w:val="00F816D2"/>
    <w:rsid w:val="00F82CD4"/>
    <w:rsid w:val="00F83731"/>
    <w:rsid w:val="00F8503F"/>
    <w:rsid w:val="00F95558"/>
    <w:rsid w:val="00F96EAB"/>
    <w:rsid w:val="00FA1E89"/>
    <w:rsid w:val="00FA402F"/>
    <w:rsid w:val="00FA49C1"/>
    <w:rsid w:val="00FA58D7"/>
    <w:rsid w:val="00FA75E3"/>
    <w:rsid w:val="00FB0C86"/>
    <w:rsid w:val="00FB5E6A"/>
    <w:rsid w:val="00FB7052"/>
    <w:rsid w:val="00FC4DD7"/>
    <w:rsid w:val="00FD2C3B"/>
    <w:rsid w:val="00FE1333"/>
    <w:rsid w:val="00FE2DA6"/>
    <w:rsid w:val="00FE353A"/>
    <w:rsid w:val="00FE407C"/>
    <w:rsid w:val="00FE4B90"/>
    <w:rsid w:val="00FF0711"/>
    <w:rsid w:val="00FF1108"/>
    <w:rsid w:val="00FF34E8"/>
    <w:rsid w:val="00FF6437"/>
    <w:rsid w:val="010E7444"/>
    <w:rsid w:val="013BBB1A"/>
    <w:rsid w:val="0152BC64"/>
    <w:rsid w:val="030D4B61"/>
    <w:rsid w:val="035F59DA"/>
    <w:rsid w:val="0464AFB1"/>
    <w:rsid w:val="051D3D6B"/>
    <w:rsid w:val="06446668"/>
    <w:rsid w:val="086DDC28"/>
    <w:rsid w:val="08F43D36"/>
    <w:rsid w:val="09BF1D7A"/>
    <w:rsid w:val="11991FA3"/>
    <w:rsid w:val="13B9D3A6"/>
    <w:rsid w:val="1602A9A3"/>
    <w:rsid w:val="180E600C"/>
    <w:rsid w:val="1E6337CD"/>
    <w:rsid w:val="1E7C1771"/>
    <w:rsid w:val="1FDC7BBA"/>
    <w:rsid w:val="209D4EDC"/>
    <w:rsid w:val="20CD85B1"/>
    <w:rsid w:val="20DC1E77"/>
    <w:rsid w:val="2236F3F2"/>
    <w:rsid w:val="2289DE03"/>
    <w:rsid w:val="2425AE64"/>
    <w:rsid w:val="246BAC0A"/>
    <w:rsid w:val="277EE8CA"/>
    <w:rsid w:val="28F91F87"/>
    <w:rsid w:val="2CA7B7AD"/>
    <w:rsid w:val="2D65DC48"/>
    <w:rsid w:val="2D88289A"/>
    <w:rsid w:val="2F9256FF"/>
    <w:rsid w:val="309D3FA1"/>
    <w:rsid w:val="30C4CF82"/>
    <w:rsid w:val="32746795"/>
    <w:rsid w:val="328A1BEF"/>
    <w:rsid w:val="32D2F39C"/>
    <w:rsid w:val="33691B8A"/>
    <w:rsid w:val="3599D975"/>
    <w:rsid w:val="36258DBB"/>
    <w:rsid w:val="36BA8F52"/>
    <w:rsid w:val="38565FB3"/>
    <w:rsid w:val="3C77D0AE"/>
    <w:rsid w:val="3CC62610"/>
    <w:rsid w:val="3F843FE7"/>
    <w:rsid w:val="3FF7A71B"/>
    <w:rsid w:val="44EC6836"/>
    <w:rsid w:val="45A55693"/>
    <w:rsid w:val="46890DB6"/>
    <w:rsid w:val="48317252"/>
    <w:rsid w:val="48C191E6"/>
    <w:rsid w:val="48DD38C4"/>
    <w:rsid w:val="48FF20B9"/>
    <w:rsid w:val="49BAA85C"/>
    <w:rsid w:val="4BAF3AB2"/>
    <w:rsid w:val="4C112082"/>
    <w:rsid w:val="4CB10819"/>
    <w:rsid w:val="4CF9C628"/>
    <w:rsid w:val="4D7DB644"/>
    <w:rsid w:val="4ED8065B"/>
    <w:rsid w:val="4F4132E5"/>
    <w:rsid w:val="50BD2E61"/>
    <w:rsid w:val="51BF2C3B"/>
    <w:rsid w:val="51C398D7"/>
    <w:rsid w:val="51CCD0A5"/>
    <w:rsid w:val="54952BCC"/>
    <w:rsid w:val="5593C6B2"/>
    <w:rsid w:val="5674B983"/>
    <w:rsid w:val="570F7154"/>
    <w:rsid w:val="58E4B90E"/>
    <w:rsid w:val="5A19A9B2"/>
    <w:rsid w:val="5BF0FB98"/>
    <w:rsid w:val="5D114BB3"/>
    <w:rsid w:val="5E4ED38B"/>
    <w:rsid w:val="5ED85BC7"/>
    <w:rsid w:val="5FC85E55"/>
    <w:rsid w:val="60742C28"/>
    <w:rsid w:val="618D0AAA"/>
    <w:rsid w:val="6288AF0A"/>
    <w:rsid w:val="6514DE4D"/>
    <w:rsid w:val="65479D4B"/>
    <w:rsid w:val="65A6D979"/>
    <w:rsid w:val="672ECED2"/>
    <w:rsid w:val="67D7309F"/>
    <w:rsid w:val="69BE137A"/>
    <w:rsid w:val="6A450462"/>
    <w:rsid w:val="6BD695A2"/>
    <w:rsid w:val="6D7F7ADC"/>
    <w:rsid w:val="6E216CF3"/>
    <w:rsid w:val="6FB7994E"/>
    <w:rsid w:val="6FD2F752"/>
    <w:rsid w:val="7164EA88"/>
    <w:rsid w:val="71EB73CF"/>
    <w:rsid w:val="7391CC04"/>
    <w:rsid w:val="740E3E08"/>
    <w:rsid w:val="743C92D7"/>
    <w:rsid w:val="7597E7D9"/>
    <w:rsid w:val="77054579"/>
    <w:rsid w:val="792232FF"/>
    <w:rsid w:val="7D32F766"/>
    <w:rsid w:val="7D8FE7C2"/>
    <w:rsid w:val="7ECEC7C7"/>
    <w:rsid w:val="7F35B432"/>
    <w:rsid w:val="7F6CA770"/>
  </w:rsids>
  <m:mathPr>
    <m:mathFont m:val="Cambria Math"/>
    <m:brkBin m:val="before"/>
    <m:brkBinSub m:val="--"/>
    <m:smallFrac m:val="0"/>
    <m:dispDef/>
    <m:lMargin m:val="0"/>
    <m:rMargin m:val="0"/>
    <m:defJc m:val="centerGroup"/>
    <m:wrapIndent m:val="1440"/>
    <m:intLim m:val="subSup"/>
    <m:naryLim m:val="undOvr"/>
  </m:mathPr>
  <w:themeFontLang w:val="f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F4481E"/>
  <w15:docId w15:val="{21B080BF-BE42-4DCF-AE00-9B1E1DECB027}"/>
  <w:updateFields w:val="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pPrDefault/>
    <w:rPrDefault>
      <w:rPr>
        <w:rFonts w:ascii="Times New Roman" w:hAnsi="Times New Roman" w:cs="Times New Roman" w:eastAsia="Times New Roman"/>
        <w:lang w:val="fr"/>
      </w:rPr>
    </w:r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81ACA"/>
    <w:rPr>
      <w:sz w:val="24"/>
      <w:szCs w:val="24"/>
    </w:rPr>
  </w:style>
  <w:style w:type="paragraph" w:styleId="Heading1">
    <w:name w:val="heading 1"/>
    <w:basedOn w:val="Normal"/>
    <w:next w:val="Normal"/>
    <w:qFormat/>
    <w:rsid w:val="00DA410F"/>
    <w:pPr>
      <w:keepNext/>
      <w:spacing w:before="240" w:after="60"/>
      <w:outlineLvl w:val="0"/>
    </w:pPr>
    <w:rPr>
      <w:rFonts w:ascii="Arial" w:hAnsi="Arial" w:cs="Arial"/>
      <w:b/>
      <w:bCs/>
      <w:kern w:val="32"/>
      <w:sz w:val="32"/>
      <w:szCs w:val="32"/>
    </w:rPr>
  </w:style>
  <w:style w:type="paragraph" w:styleId="Heading2">
    <w:name w:val="heading 2"/>
    <w:aliases w:val=" Znak Znak Znak Znak,Znak Znak Znak Znak"/>
    <w:basedOn w:val="Normal"/>
    <w:next w:val="Normal"/>
    <w:link w:val="Heading2Char"/>
    <w:qFormat/>
    <w:rsid w:val="00DA410F"/>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A410F"/>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 Znak Znak Znak Znak Char,Znak Znak Znak Znak Char"/>
    <w:link w:val="Heading2"/>
    <w:rsid w:val="00DA410F"/>
    <w:rPr>
      <w:rFonts w:ascii="Arial" w:hAnsi="Arial" w:cs="Arial"/>
      <w:b/>
      <w:bCs/>
      <w:i/>
      <w:iCs/>
      <w:sz w:val="28"/>
      <w:szCs w:val="28"/>
    </w:rPr>
  </w:style>
  <w:style w:type="paragraph" w:styleId="PlainText">
    <w:name w:val="Plain Text"/>
    <w:basedOn w:val="Normal"/>
    <w:rsid w:val="00DA410F"/>
    <w:rPr>
      <w:rFonts w:ascii="Courier New" w:hAnsi="Courier New" w:cs="Courier New"/>
      <w:sz w:val="20"/>
      <w:szCs w:val="20"/>
    </w:rPr>
  </w:style>
  <w:style w:type="character" w:styleId="Hyperlink">
    <w:name w:val="Hyperlink"/>
    <w:uiPriority w:val="99"/>
    <w:rsid w:val="00DA410F"/>
    <w:rPr>
      <w:color w:val="0000FF"/>
      <w:u w:val="single"/>
    </w:rPr>
  </w:style>
  <w:style w:type="paragraph" w:customStyle="1" w:styleId="Text1">
    <w:name w:val="Text 1"/>
    <w:basedOn w:val="Normal"/>
    <w:link w:val="Text1Char"/>
    <w:rsid w:val="00DA410F"/>
    <w:pPr>
      <w:spacing w:before="120" w:after="120"/>
      <w:ind w:left="850"/>
      <w:jc w:val="both"/>
    </w:pPr>
  </w:style>
  <w:style w:type="character" w:customStyle="1" w:styleId="Text1Char">
    <w:name w:val="Text 1 Char"/>
    <w:link w:val="Text1"/>
    <w:rsid w:val="00DA410F"/>
    <w:rPr>
      <w:sz w:val="24"/>
      <w:szCs w:val="24"/>
    </w:rPr>
  </w:style>
  <w:style w:type="character" w:styleId="FootnoteReference">
    <w:name w:val="footnote reference"/>
    <w:aliases w:val="Footnote symbol,Footnote,Voetnootverwijzing,Footnote number,fr,o,Footnotemark,FR,Footnotemark1,Footnotemark2,FR1,Footnotemark3,FR2,Footnotemark4,FR3,Footnotemark5,FR4,Footnotemark6,Footnotemark7,Footnotemark8,FR5,Footnotemark11,F,SUPE"/>
    <w:uiPriority w:val="99"/>
    <w:qFormat/>
    <w:rsid w:val="00DA410F"/>
    <w:rPr>
      <w:vertAlign w:val="superscript"/>
    </w:rPr>
  </w:style>
  <w:style w:type="paragraph" w:styleId="FootnoteText">
    <w:name w:val="footnote text"/>
    <w:basedOn w:val="Normal"/>
    <w:link w:val="FootnoteTextChar"/>
    <w:semiHidden/>
    <w:rsid w:val="00DA410F"/>
    <w:pPr>
      <w:ind w:left="720" w:hanging="720"/>
      <w:jc w:val="both"/>
    </w:pPr>
    <w:rPr>
      <w:sz w:val="20"/>
      <w:szCs w:val="20"/>
    </w:rPr>
  </w:style>
  <w:style w:type="paragraph" w:styleId="ListBullet">
    <w:name w:val="List Bullet"/>
    <w:aliases w:val="List Bullet Char,List Bullet Char1 Char,List Bullet Char Char Char,List Bullet Char1 Char Char Char,List Bullet Char Char Char Char Char,List Bullet Char Char1,List Bullet Char1 Char Char1,List Bullet Char Char Char Char1"/>
    <w:basedOn w:val="Normal"/>
    <w:link w:val="ListBulletChar1"/>
    <w:rsid w:val="00DA410F"/>
    <w:pPr>
      <w:numPr>
        <w:numId w:val="2"/>
      </w:numPr>
    </w:pPr>
  </w:style>
  <w:style w:type="character" w:customStyle="1" w:styleId="ListBulletChar1">
    <w:name w:val="List Bullet Char1"/>
    <w:aliases w:val="List Bullet Char Char,List Bullet Char1 Char Char,List Bullet Char Char Char Char,List Bullet Char1 Char Char Char Char,List Bullet Char Char Char Char Char Char,List Bullet Char Char1 Char,List Bullet Char1 Char Char1 Char"/>
    <w:link w:val="ListBullet"/>
    <w:rsid w:val="00DA410F"/>
    <w:rPr>
      <w:sz w:val="24"/>
      <w:szCs w:val="24"/>
    </w:rPr>
  </w:style>
  <w:style w:type="paragraph" w:styleId="Header">
    <w:name w:val="header"/>
    <w:basedOn w:val="Normal"/>
    <w:link w:val="HeaderChar"/>
    <w:rsid w:val="00DA410F"/>
    <w:pPr>
      <w:tabs>
        <w:tab w:val="center" w:pos="4536"/>
        <w:tab w:val="right" w:pos="9072"/>
      </w:tabs>
    </w:pPr>
  </w:style>
  <w:style w:type="paragraph" w:customStyle="1" w:styleId="ListDash">
    <w:name w:val="List Dash"/>
    <w:basedOn w:val="Normal"/>
    <w:rsid w:val="00DA410F"/>
    <w:pPr>
      <w:spacing w:after="240"/>
      <w:jc w:val="both"/>
    </w:pPr>
    <w:rPr>
      <w:szCs w:val="20"/>
    </w:rPr>
  </w:style>
  <w:style w:type="paragraph" w:customStyle="1" w:styleId="me-testo">
    <w:name w:val="me-testo"/>
    <w:basedOn w:val="Normal"/>
    <w:rsid w:val="00DA410F"/>
    <w:pPr>
      <w:spacing w:before="100" w:beforeAutospacing="1" w:after="100" w:afterAutospacing="1"/>
    </w:pPr>
  </w:style>
  <w:style w:type="character" w:customStyle="1" w:styleId="normal--char">
    <w:name w:val="normal--char"/>
    <w:basedOn w:val="DefaultParagraphFont"/>
    <w:rsid w:val="00DA410F"/>
  </w:style>
  <w:style w:type="paragraph" w:styleId="Signature">
    <w:name w:val="Signature"/>
    <w:basedOn w:val="Normal"/>
    <w:next w:val="Normal"/>
    <w:rsid w:val="00DA410F"/>
    <w:pPr>
      <w:tabs>
        <w:tab w:val="left" w:pos="5103"/>
      </w:tabs>
      <w:spacing w:before="1200"/>
      <w:ind w:left="5103"/>
      <w:jc w:val="center"/>
    </w:pPr>
    <w:rPr>
      <w:szCs w:val="20"/>
    </w:rPr>
  </w:style>
  <w:style w:type="paragraph" w:customStyle="1" w:styleId="Copies">
    <w:name w:val="Copies"/>
    <w:basedOn w:val="Normal"/>
    <w:next w:val="Normal"/>
    <w:rsid w:val="00DA410F"/>
    <w:pPr>
      <w:tabs>
        <w:tab w:val="left" w:pos="2552"/>
        <w:tab w:val="left" w:pos="2835"/>
        <w:tab w:val="left" w:pos="5670"/>
        <w:tab w:val="left" w:pos="6379"/>
        <w:tab w:val="left" w:pos="6804"/>
      </w:tabs>
      <w:spacing w:before="480"/>
      <w:ind w:left="1985" w:hanging="1985"/>
    </w:pPr>
    <w:rPr>
      <w:szCs w:val="20"/>
    </w:rPr>
  </w:style>
  <w:style w:type="paragraph" w:customStyle="1" w:styleId="NoteHead">
    <w:name w:val="NoteHead"/>
    <w:basedOn w:val="Normal"/>
    <w:next w:val="Normal"/>
    <w:rsid w:val="00DA410F"/>
    <w:pPr>
      <w:spacing w:before="720" w:after="720"/>
      <w:jc w:val="center"/>
    </w:pPr>
    <w:rPr>
      <w:b/>
      <w:smallCaps/>
      <w:szCs w:val="20"/>
    </w:rPr>
  </w:style>
  <w:style w:type="paragraph" w:customStyle="1" w:styleId="Enclosures">
    <w:name w:val="Enclosures"/>
    <w:basedOn w:val="Normal"/>
    <w:next w:val="Normal"/>
    <w:rsid w:val="00DA410F"/>
    <w:pPr>
      <w:keepNext/>
      <w:keepLines/>
      <w:tabs>
        <w:tab w:val="left" w:pos="5670"/>
      </w:tabs>
      <w:spacing w:before="480"/>
      <w:ind w:left="1985" w:hanging="1985"/>
    </w:pPr>
    <w:rPr>
      <w:szCs w:val="20"/>
    </w:rPr>
  </w:style>
  <w:style w:type="paragraph" w:customStyle="1" w:styleId="NumPar1">
    <w:name w:val="NumPar 1"/>
    <w:basedOn w:val="Heading1"/>
    <w:next w:val="Text1"/>
    <w:rsid w:val="00DA410F"/>
    <w:pPr>
      <w:keepNext w:val="0"/>
      <w:spacing w:before="0" w:after="240"/>
      <w:jc w:val="both"/>
      <w:outlineLvl w:val="9"/>
    </w:pPr>
    <w:rPr>
      <w:rFonts w:ascii="Times New Roman" w:hAnsi="Times New Roman" w:cs="Times New Roman"/>
      <w:b w:val="0"/>
      <w:bCs w:val="0"/>
      <w:kern w:val="0"/>
      <w:sz w:val="24"/>
      <w:szCs w:val="20"/>
    </w:rPr>
  </w:style>
  <w:style w:type="paragraph" w:styleId="DocumentMap">
    <w:name w:val="Document Map"/>
    <w:basedOn w:val="Normal"/>
    <w:semiHidden/>
    <w:rsid w:val="00DA410F"/>
    <w:pPr>
      <w:shd w:val="clear" w:color="auto" w:fill="000080"/>
    </w:pPr>
    <w:rPr>
      <w:rFonts w:ascii="Tahoma" w:hAnsi="Tahoma" w:cs="Tahoma"/>
      <w:sz w:val="20"/>
      <w:szCs w:val="20"/>
    </w:rPr>
  </w:style>
  <w:style w:type="paragraph" w:styleId="Footer">
    <w:name w:val="footer"/>
    <w:basedOn w:val="Normal"/>
    <w:link w:val="FooterChar"/>
    <w:uiPriority w:val="99"/>
    <w:rsid w:val="00670A9C"/>
    <w:pPr>
      <w:tabs>
        <w:tab w:val="center" w:pos="4536"/>
        <w:tab w:val="right" w:pos="9072"/>
      </w:tabs>
    </w:pPr>
  </w:style>
  <w:style w:type="character" w:styleId="CommentReference">
    <w:name w:val="annotation reference"/>
    <w:uiPriority w:val="99"/>
    <w:rsid w:val="00730771"/>
    <w:rPr>
      <w:sz w:val="16"/>
      <w:szCs w:val="16"/>
    </w:rPr>
  </w:style>
  <w:style w:type="paragraph" w:styleId="CommentText">
    <w:name w:val="annotation text"/>
    <w:basedOn w:val="Normal"/>
    <w:link w:val="CommentTextChar"/>
    <w:uiPriority w:val="99"/>
    <w:rsid w:val="00730771"/>
    <w:rPr>
      <w:sz w:val="20"/>
      <w:szCs w:val="20"/>
    </w:rPr>
  </w:style>
  <w:style w:type="character" w:customStyle="1" w:styleId="CommentTextChar">
    <w:name w:val="Comment Text Char"/>
    <w:basedOn w:val="DefaultParagraphFont"/>
    <w:link w:val="CommentText"/>
    <w:uiPriority w:val="99"/>
    <w:rsid w:val="00730771"/>
  </w:style>
  <w:style w:type="paragraph" w:styleId="BodyText">
    <w:name w:val="Body Text"/>
    <w:basedOn w:val="Normal"/>
    <w:link w:val="BodyTextChar"/>
    <w:unhideWhenUsed/>
    <w:rsid w:val="00CB5635"/>
    <w:pPr>
      <w:jc w:val="both"/>
    </w:pPr>
    <w:rPr>
      <w:rFonts w:ascii="Arial" w:hAnsi="Arial" w:cs="Arial"/>
      <w:szCs w:val="20"/>
    </w:rPr>
  </w:style>
  <w:style w:type="character" w:customStyle="1" w:styleId="BodyTextChar">
    <w:name w:val="Body Text Char"/>
    <w:link w:val="BodyText"/>
    <w:rsid w:val="00CB5635"/>
    <w:rPr>
      <w:rFonts w:ascii="Arial" w:hAnsi="Arial" w:cs="Arial"/>
      <w:sz w:val="24"/>
    </w:rPr>
  </w:style>
  <w:style w:type="paragraph" w:styleId="BalloonText">
    <w:name w:val="Balloon Text"/>
    <w:basedOn w:val="Normal"/>
    <w:link w:val="BalloonTextChar"/>
    <w:rsid w:val="00060716"/>
    <w:rPr>
      <w:rFonts w:ascii="Tahoma" w:hAnsi="Tahoma" w:cs="Tahoma"/>
      <w:sz w:val="16"/>
      <w:szCs w:val="16"/>
    </w:rPr>
  </w:style>
  <w:style w:type="character" w:customStyle="1" w:styleId="BalloonTextChar">
    <w:name w:val="Balloon Text Char"/>
    <w:link w:val="BalloonText"/>
    <w:rsid w:val="00060716"/>
    <w:rPr>
      <w:rFonts w:ascii="Tahoma" w:hAnsi="Tahoma" w:cs="Tahoma"/>
      <w:sz w:val="16"/>
      <w:szCs w:val="16"/>
    </w:rPr>
  </w:style>
  <w:style w:type="paragraph" w:styleId="Revision">
    <w:name w:val="Revision"/>
    <w:hidden/>
    <w:uiPriority w:val="99"/>
    <w:semiHidden/>
    <w:rsid w:val="00060716"/>
    <w:rPr>
      <w:sz w:val="24"/>
      <w:szCs w:val="24"/>
    </w:rPr>
  </w:style>
  <w:style w:type="table" w:styleId="TableGrid">
    <w:name w:val="Table Grid"/>
    <w:basedOn w:val="TableNormal"/>
    <w:rsid w:val="003154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583379"/>
    <w:rPr>
      <w:sz w:val="24"/>
      <w:szCs w:val="24"/>
    </w:rPr>
  </w:style>
  <w:style w:type="paragraph" w:styleId="Title">
    <w:name w:val="Title"/>
    <w:basedOn w:val="Normal"/>
    <w:next w:val="Normal"/>
    <w:link w:val="TitleChar"/>
    <w:qFormat/>
    <w:rsid w:val="00FF0711"/>
    <w:pPr>
      <w:spacing w:before="360" w:after="240"/>
      <w:outlineLvl w:val="0"/>
    </w:pPr>
    <w:rPr>
      <w:rFonts w:ascii="Times New Roman Bold" w:hAnsi="Times New Roman Bold"/>
      <w:b/>
      <w:bCs/>
      <w:smallCaps/>
      <w:kern w:val="28"/>
      <w:szCs w:val="32"/>
    </w:rPr>
  </w:style>
  <w:style w:type="character" w:customStyle="1" w:styleId="TitleChar">
    <w:name w:val="Title Char"/>
    <w:link w:val="Title"/>
    <w:rsid w:val="00FF0711"/>
    <w:rPr>
      <w:rFonts w:ascii="Times New Roman Bold" w:hAnsi="Times New Roman Bold" w:cs="Times New Roman" w:eastAsia="Times New Roman"/>
      <w:b/>
      <w:bCs/>
      <w:smallCaps/>
      <w:kern w:val="28"/>
      <w:sz w:val="24"/>
      <w:szCs w:val="32"/>
    </w:rPr>
  </w:style>
  <w:style w:type="paragraph" w:styleId="CommentSubject">
    <w:name w:val="annotation subject"/>
    <w:basedOn w:val="CommentText"/>
    <w:next w:val="CommentText"/>
    <w:link w:val="CommentSubjectChar"/>
    <w:rsid w:val="004729C1"/>
    <w:rPr>
      <w:b/>
      <w:bCs/>
    </w:rPr>
  </w:style>
  <w:style w:type="character" w:customStyle="1" w:styleId="CommentSubjectChar">
    <w:name w:val="Comment Subject Char"/>
    <w:basedOn w:val="CommentTextChar"/>
    <w:link w:val="CommentSubject"/>
    <w:rsid w:val="004729C1"/>
    <w:rPr>
      <w:b/>
      <w:bCs/>
    </w:rPr>
  </w:style>
  <w:style w:type="paragraph" w:styleId="ListParagraph">
    <w:name w:val="List Paragraph"/>
    <w:basedOn w:val="Normal"/>
    <w:uiPriority w:val="34"/>
    <w:qFormat/>
    <w:rsid w:val="00D640BE"/>
    <w:pPr>
      <w:ind w:left="720"/>
      <w:contextualSpacing/>
    </w:pPr>
  </w:style>
  <w:style w:type="table" w:styleId="GridTable4-Accent5">
    <w:name w:val="Grid Table 4 Accent 5"/>
    <w:basedOn w:val="TableNormal"/>
    <w:uiPriority w:val="49"/>
    <w:rsid w:val="00772FA4"/>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PlaceholderText">
    <w:name w:val="Placeholder Text"/>
    <w:basedOn w:val="DefaultParagraphFont"/>
    <w:uiPriority w:val="99"/>
    <w:semiHidden/>
    <w:rsid w:val="00556DCA"/>
    <w:rPr>
      <w:color w:val="808080"/>
    </w:rPr>
  </w:style>
  <w:style w:type="character" w:customStyle="1" w:styleId="FootnoteTextChar">
    <w:name w:val="Footnote Text Char"/>
    <w:basedOn w:val="DefaultParagraphFont"/>
    <w:link w:val="FootnoteText"/>
    <w:semiHidden/>
    <w:rsid w:val="00F04B97"/>
  </w:style>
  <w:style w:type="paragraph" w:customStyle="1" w:styleId="Text2">
    <w:name w:val="Text 2"/>
    <w:basedOn w:val="Normal"/>
    <w:link w:val="Text2Char1"/>
    <w:qFormat/>
    <w:rsid w:val="00FA1E89"/>
    <w:pPr>
      <w:tabs>
        <w:tab w:val="left" w:pos="2160"/>
      </w:tabs>
      <w:spacing w:before="100" w:beforeAutospacing="1" w:after="100" w:afterAutospacing="1"/>
      <w:ind w:left="1077"/>
      <w:jc w:val="both"/>
    </w:pPr>
  </w:style>
  <w:style w:type="character" w:customStyle="1" w:styleId="Text2Char1">
    <w:name w:val="Text 2 Char1"/>
    <w:link w:val="Text2"/>
    <w:rsid w:val="00FA1E89"/>
    <w:rPr>
      <w:sz w:val="24"/>
      <w:szCs w:val="24"/>
    </w:rPr>
  </w:style>
  <w:style w:type="character" w:customStyle="1" w:styleId="HeaderChar">
    <w:name w:val="Header Char"/>
    <w:basedOn w:val="DefaultParagraphFont"/>
    <w:link w:val="Header"/>
    <w:rsid w:val="001D72E4"/>
    <w:rPr>
      <w:sz w:val="24"/>
      <w:szCs w:val="24"/>
    </w:rPr>
  </w:style>
  <w:style w:type="character" w:styleId="UnresolvedMention">
    <w:name w:val="Unresolved Mention"/>
    <w:basedOn w:val="DefaultParagraphFont"/>
    <w:uiPriority w:val="99"/>
    <w:semiHidden/>
    <w:unhideWhenUsed/>
    <w:rsid w:val="0008506D"/>
    <w:rPr>
      <w:color w:val="605E5C"/>
      <w:shd w:val="clear" w:color="auto" w:fill="E1DFDD"/>
    </w:rPr>
  </w:style>
  <w:style w:type="paragraph" w:styleId="P68B1DB1-Normal1">
    <w:name w:val="P68B1DB1-Normal1"/>
    <w:basedOn w:val="Normal"/>
    <w:rPr>
      <w:b/>
      <w:sz w:val="28"/>
    </w:rPr>
  </w:style>
  <w:style w:type="paragraph" w:styleId="P68B1DB1-Normal2">
    <w:name w:val="P68B1DB1-Normal2"/>
    <w:basedOn w:val="Normal"/>
    <w:rPr>
      <w:b/>
    </w:rPr>
  </w:style>
  <w:style w:type="paragraph" w:styleId="P68B1DB1-Normal3">
    <w:name w:val="P68B1DB1-Normal3"/>
    <w:basedOn w:val="Normal"/>
    <w:rPr>
      <w:i/>
      <w:highlight w:val="lightGray"/>
    </w:rPr>
  </w:style>
  <w:style w:type="paragraph" w:styleId="P68B1DB1-Normal4">
    <w:name w:val="P68B1DB1-Normal4"/>
    <w:basedOn w:val="Normal"/>
    <w:rPr>
      <w:b/>
      <w:sz w:val="22"/>
      <w:szCs w:val="22"/>
    </w:rPr>
  </w:style>
  <w:style w:type="paragraph" w:styleId="P68B1DB1-Text15">
    <w:name w:val="P68B1DB1-Text15"/>
    <w:basedOn w:val="Text1"/>
    <w:rPr>
      <w:color w:val="000000" w:themeColor="text1"/>
    </w:rPr>
  </w:style>
  <w:style w:type="paragraph" w:styleId="P68B1DB1-Normal6">
    <w:name w:val="P68B1DB1-Normal6"/>
    <w:basedOn w:val="Normal"/>
    <w:rPr>
      <w:b/>
      <w:i/>
      <w:u w:val="single"/>
    </w:rPr>
  </w:style>
  <w:style w:type="paragraph" w:styleId="P68B1DB1-Normal7">
    <w:name w:val="P68B1DB1-Normal7"/>
    <w:basedOn w:val="Normal"/>
    <w:rPr>
      <w:b/>
      <w:i/>
    </w:rPr>
  </w:style>
  <w:style w:type="paragraph" w:styleId="P68B1DB1-Normal8">
    <w:name w:val="P68B1DB1-Normal8"/>
    <w:basedOn w:val="Normal"/>
    <w:rPr>
      <w:color w:val="000000" w:themeColor="text1"/>
    </w:rPr>
  </w:style>
  <w:style w:type="paragraph" w:styleId="P68B1DB1-Normal9">
    <w:name w:val="P68B1DB1-Normal9"/>
    <w:basedOn w:val="Normal"/>
    <w:rPr>
      <w:b/>
      <w:u w:val="single"/>
    </w:rPr>
  </w:style>
  <w:style w:type="paragraph" w:styleId="P68B1DB1-Normal10">
    <w:name w:val="P68B1DB1-Normal10"/>
    <w:basedOn w:val="Normal"/>
    <w:rPr>
      <w:b/>
      <w:i/>
      <w:color w:val="0070C0"/>
      <w:highlight w:val="yellow"/>
    </w:rPr>
  </w:style>
  <w:style w:type="paragraph" w:styleId="P68B1DB1-Normal11">
    <w:name w:val="P68B1DB1-Normal11"/>
    <w:basedOn w:val="Normal"/>
    <w:rPr>
      <w:rFonts w:ascii="Times New Roman Bold" w:hAnsi="Times New Roman Bold"/>
      <w:b/>
      <w:smallCaps/>
      <w:kern w:val="28"/>
      <w:szCs w:val="32"/>
    </w:rPr>
  </w:style>
  <w:style w:type="paragraph" w:styleId="P68B1DB1-ListParagraph12">
    <w:name w:val="P68B1DB1-ListParagraph12"/>
    <w:basedOn w:val="ListParagraph"/>
    <w:rPr>
      <w:i/>
      <w:highlight w:val="lightGray"/>
    </w:rPr>
  </w:style>
  <w:style w:type="paragraph" w:styleId="P68B1DB1-ListParagraph13">
    <w:name w:val="P68B1DB1-ListParagraph13"/>
    <w:basedOn w:val="ListParagraph"/>
    <w:rPr>
      <w:highlight w:val="lightGray"/>
    </w:rPr>
  </w:style>
  <w:style w:type="paragraph" w:styleId="P68B1DB1-ListParagraph14">
    <w:name w:val="P68B1DB1-ListParagraph14"/>
    <w:basedOn w:val="ListParagraph"/>
    <w:rPr>
      <w:sz w:val="20"/>
      <w:szCs w:val="20"/>
    </w:rPr>
  </w:style>
  <w:style w:type="paragraph" w:styleId="P68B1DB1-Header15">
    <w:name w:val="P68B1DB1-Header15"/>
    <w:basedOn w:val="Header"/>
    <w:rPr>
      <w:sz w:val="20"/>
      <w:szCs w:val="20"/>
    </w:rPr>
  </w:style>
  <w:style w:type="paragraph" w:styleId="P68B1DB1-Footer16">
    <w:name w:val="P68B1DB1-Footer16"/>
    <w:basedOn w:val="Foote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594990">
      <w:bodyDiv w:val="1"/>
      <w:marLeft w:val="0"/>
      <w:marRight w:val="0"/>
      <w:marTop w:val="0"/>
      <w:marBottom w:val="0"/>
      <w:divBdr>
        <w:top w:val="none" w:sz="0" w:space="0" w:color="auto"/>
        <w:left w:val="none" w:sz="0" w:space="0" w:color="auto"/>
        <w:bottom w:val="none" w:sz="0" w:space="0" w:color="auto"/>
        <w:right w:val="none" w:sz="0" w:space="0" w:color="auto"/>
      </w:divBdr>
    </w:div>
    <w:div w:id="388579986">
      <w:bodyDiv w:val="1"/>
      <w:marLeft w:val="0"/>
      <w:marRight w:val="0"/>
      <w:marTop w:val="0"/>
      <w:marBottom w:val="0"/>
      <w:divBdr>
        <w:top w:val="none" w:sz="0" w:space="0" w:color="auto"/>
        <w:left w:val="none" w:sz="0" w:space="0" w:color="auto"/>
        <w:bottom w:val="none" w:sz="0" w:space="0" w:color="auto"/>
        <w:right w:val="none" w:sz="0" w:space="0" w:color="auto"/>
      </w:divBdr>
    </w:div>
    <w:div w:id="570772006">
      <w:bodyDiv w:val="1"/>
      <w:marLeft w:val="0"/>
      <w:marRight w:val="0"/>
      <w:marTop w:val="0"/>
      <w:marBottom w:val="0"/>
      <w:divBdr>
        <w:top w:val="none" w:sz="0" w:space="0" w:color="auto"/>
        <w:left w:val="none" w:sz="0" w:space="0" w:color="auto"/>
        <w:bottom w:val="none" w:sz="0" w:space="0" w:color="auto"/>
        <w:right w:val="none" w:sz="0" w:space="0" w:color="auto"/>
      </w:divBdr>
    </w:div>
    <w:div w:id="660890298">
      <w:bodyDiv w:val="1"/>
      <w:marLeft w:val="0"/>
      <w:marRight w:val="0"/>
      <w:marTop w:val="0"/>
      <w:marBottom w:val="0"/>
      <w:divBdr>
        <w:top w:val="none" w:sz="0" w:space="0" w:color="auto"/>
        <w:left w:val="none" w:sz="0" w:space="0" w:color="auto"/>
        <w:bottom w:val="none" w:sz="0" w:space="0" w:color="auto"/>
        <w:right w:val="none" w:sz="0" w:space="0" w:color="auto"/>
      </w:divBdr>
    </w:div>
    <w:div w:id="858660923">
      <w:bodyDiv w:val="1"/>
      <w:marLeft w:val="0"/>
      <w:marRight w:val="0"/>
      <w:marTop w:val="0"/>
      <w:marBottom w:val="0"/>
      <w:divBdr>
        <w:top w:val="none" w:sz="0" w:space="0" w:color="auto"/>
        <w:left w:val="none" w:sz="0" w:space="0" w:color="auto"/>
        <w:bottom w:val="none" w:sz="0" w:space="0" w:color="auto"/>
        <w:right w:val="none" w:sz="0" w:space="0" w:color="auto"/>
      </w:divBdr>
    </w:div>
    <w:div w:id="1064140286">
      <w:bodyDiv w:val="1"/>
      <w:marLeft w:val="0"/>
      <w:marRight w:val="0"/>
      <w:marTop w:val="0"/>
      <w:marBottom w:val="0"/>
      <w:divBdr>
        <w:top w:val="none" w:sz="0" w:space="0" w:color="auto"/>
        <w:left w:val="none" w:sz="0" w:space="0" w:color="auto"/>
        <w:bottom w:val="none" w:sz="0" w:space="0" w:color="auto"/>
        <w:right w:val="none" w:sz="0" w:space="0" w:color="auto"/>
      </w:divBdr>
    </w:div>
    <w:div w:id="1293512552">
      <w:bodyDiv w:val="1"/>
      <w:marLeft w:val="0"/>
      <w:marRight w:val="0"/>
      <w:marTop w:val="0"/>
      <w:marBottom w:val="0"/>
      <w:divBdr>
        <w:top w:val="none" w:sz="0" w:space="0" w:color="auto"/>
        <w:left w:val="none" w:sz="0" w:space="0" w:color="auto"/>
        <w:bottom w:val="none" w:sz="0" w:space="0" w:color="auto"/>
        <w:right w:val="none" w:sz="0" w:space="0" w:color="auto"/>
      </w:divBdr>
    </w:div>
    <w:div w:id="1406877449">
      <w:bodyDiv w:val="1"/>
      <w:marLeft w:val="0"/>
      <w:marRight w:val="0"/>
      <w:marTop w:val="0"/>
      <w:marBottom w:val="0"/>
      <w:divBdr>
        <w:top w:val="none" w:sz="0" w:space="0" w:color="auto"/>
        <w:left w:val="none" w:sz="0" w:space="0" w:color="auto"/>
        <w:bottom w:val="none" w:sz="0" w:space="0" w:color="auto"/>
        <w:right w:val="none" w:sz="0" w:space="0" w:color="auto"/>
      </w:divBdr>
    </w:div>
    <w:div w:id="1446657658">
      <w:bodyDiv w:val="1"/>
      <w:marLeft w:val="0"/>
      <w:marRight w:val="0"/>
      <w:marTop w:val="0"/>
      <w:marBottom w:val="0"/>
      <w:divBdr>
        <w:top w:val="none" w:sz="0" w:space="0" w:color="auto"/>
        <w:left w:val="none" w:sz="0" w:space="0" w:color="auto"/>
        <w:bottom w:val="none" w:sz="0" w:space="0" w:color="auto"/>
        <w:right w:val="none" w:sz="0" w:space="0" w:color="auto"/>
      </w:divBdr>
    </w:div>
    <w:div w:id="2111926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ctionsmap.eu/"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www.sanctionsmap.eu/"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esignature.ec.europa.eu/efda/tl-browser/"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c.europa.eu/cefdigital/DSS/webapp-demo/validation"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sanctionsmap.eu/" TargetMode="External"/><Relationship Id="rId1" Type="http://schemas.openxmlformats.org/officeDocument/2006/relationships/hyperlink" Target="https://www.sanctionsmap.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C531BE63DE3E624A967FF2F4F30538A7" ma:contentTypeVersion="19" ma:contentTypeDescription="Crear nuevo documento." ma:contentTypeScope="" ma:versionID="ffb4e7e198875630f28151f48ca58aa8">
  <xsd:schema xmlns:xsd="http://www.w3.org/2001/XMLSchema" xmlns:xs="http://www.w3.org/2001/XMLSchema" xmlns:p="http://schemas.microsoft.com/office/2006/metadata/properties" xmlns:ns2="3095601c-4b09-43b5-ad89-2d4e5ddee247" xmlns:ns3="f4d622a6-c18d-4901-849d-63ef8e0e2bd0" targetNamespace="http://schemas.microsoft.com/office/2006/metadata/properties" ma:root="true" ma:fieldsID="2620173f754190c7a4155e198cfda344" ns2:_="" ns3:_="">
    <xsd:import namespace="3095601c-4b09-43b5-ad89-2d4e5ddee247"/>
    <xsd:import namespace="f4d622a6-c18d-4901-849d-63ef8e0e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element ref="ns2: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5601c-4b09-43b5-ad89-2d4e5dde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db630b34-ef66-4a23-b54c-047f976c1c4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ime" ma:index="26" nillable="true" ma:displayName="Time" ma:format="DateTime" ma:internalName="Tim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d622a6-c18d-4901-849d-63ef8e0e2bd0"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77d6a92-87a7-4d3b-b075-aac5d3901fde}" ma:internalName="TaxCatchAll" ma:showField="CatchAllData" ma:web="f4d622a6-c18d-4901-849d-63ef8e0e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4d622a6-c18d-4901-849d-63ef8e0e2bd0" xsi:nil="true"/>
    <Time xmlns="3095601c-4b09-43b5-ad89-2d4e5ddee247" xsi:nil="true"/>
    <lcf76f155ced4ddcb4097134ff3c332f xmlns="3095601c-4b09-43b5-ad89-2d4e5ddee247">
      <Terms xmlns="http://schemas.microsoft.com/office/infopath/2007/PartnerControls"/>
    </lcf76f155ced4ddcb4097134ff3c332f>
  </documentManagement>
</p:properties>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326290-4D62-4E0F-9A37-0361B4115CEC}">
  <ds:schemaRefs>
    <ds:schemaRef ds:uri="http://schemas.openxmlformats.org/officeDocument/2006/bibliography"/>
  </ds:schemaRefs>
</ds:datastoreItem>
</file>

<file path=customXml/itemProps2.xml><?xml version="1.0" encoding="utf-8"?>
<ds:datastoreItem xmlns:ds="http://schemas.openxmlformats.org/officeDocument/2006/customXml" ds:itemID="{56917A30-852D-4F12-A16E-854A783B4048}"/>
</file>

<file path=customXml/itemProps3.xml><?xml version="1.0" encoding="utf-8"?>
<ds:datastoreItem xmlns:ds="http://schemas.openxmlformats.org/officeDocument/2006/customXml" ds:itemID="{60CD38FF-E988-4152-A6F0-59BBCDA5DA5E}">
  <ds:schemaRefs>
    <ds:schemaRef ds:uri="http://schemas.microsoft.com/office/2006/metadata/properties"/>
    <ds:schemaRef ds:uri="http://schemas.microsoft.com/office/infopath/2007/PartnerControls"/>
    <ds:schemaRef ds:uri="f4d622a6-c18d-4901-849d-63ef8e0e2bd0"/>
    <ds:schemaRef ds:uri="3095601c-4b09-43b5-ad89-2d4e5ddee247"/>
  </ds:schemaRefs>
</ds:datastoreItem>
</file>

<file path=customXml/itemProps4.xml><?xml version="1.0" encoding="utf-8"?>
<ds:datastoreItem xmlns:ds="http://schemas.openxmlformats.org/officeDocument/2006/customXml" ds:itemID="{CE8DF1CF-2FCC-479D-9B01-C172A8068A0F}">
  <ds:schemaRefs>
    <ds:schemaRef ds:uri="http://schemas.microsoft.com/office/2006/metadata/longProperties"/>
  </ds:schemaRefs>
</ds:datastoreItem>
</file>

<file path=customXml/itemProps5.xml><?xml version="1.0" encoding="utf-8"?>
<ds:datastoreItem xmlns:ds="http://schemas.openxmlformats.org/officeDocument/2006/customXml" ds:itemID="{C8877B54-A1FB-42FA-8F49-044DA4F704F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3924</Words>
  <Characters>21583</Characters>
  <Application>Microsoft Office Word</Application>
  <DocSecurity>6</DocSecurity>
  <Lines>179</Lines>
  <Paragraphs>50</Paragraphs>
  <ScaleCrop>false</ScaleCrop>
  <Company/>
  <LinksUpToDate>false</LinksUpToDate>
  <CharactersWithSpaces>25457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TERUEL MARTINEZ Roberto (MOL)</dc:creator>
  <cp:keywords/>
  <dc:description/>
  <cp:lastModifiedBy>TERUEL MARTINEZ Roberto (MOL)</cp:lastModifiedBy>
  <cp:revision>2</cp:revision>
  <dcterms:created xsi:type="dcterms:W3CDTF">2026-10-30T13:54:00Z</dcterms:created>
  <dcterms:modified xsi:type="dcterms:W3CDTF">2026-10-30T13:54:00Z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0x010100C531BE63DE3E624A967FF2F4F30538A7</vt:lpwstr>
  </property>
  <property fmtid="{D5CDD505-2E9C-101B-9397-08002B2CF9AE}" pid="3" name="MediaServiceImageTags">
    <vt:lpwstr/>
  </property>
</Properties>
</file>