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481E" w14:textId="77777777" w:rsidR="00DA410F" w:rsidRPr="0024225B" w:rsidRDefault="00DA410F" w:rsidP="0024225B">
      <w:pPr>
        <w:spacing w:before="240" w:after="240"/>
        <w:jc w:val="center"/>
        <w:rPr>
          <w:b/>
          <w:noProof/>
          <w:sz w:val="28"/>
          <w:szCs w:val="32"/>
        </w:rPr>
      </w:pPr>
      <w:bookmarkStart w:id="0" w:name="_GoBack"/>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bookmarkEnd w:id="0"/>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85EEB">
              <w:rPr>
                <w:noProof/>
              </w:rPr>
            </w:r>
            <w:r w:rsidR="00985EEB">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6"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lastRenderedPageBreak/>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lastRenderedPageBreak/>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C6" w14:textId="77777777" w:rsidTr="00376A09">
        <w:tc>
          <w:tcPr>
            <w:tcW w:w="7344" w:type="dxa"/>
            <w:shd w:val="clear" w:color="auto" w:fill="auto"/>
          </w:tcPr>
          <w:p w14:paraId="16F448C2" w14:textId="77777777" w:rsidR="00376A09" w:rsidRPr="00C475D8" w:rsidRDefault="00376A09" w:rsidP="007D3A1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gridSpan w:val="2"/>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77777777"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583379">
              <w:rPr>
                <w:noProof/>
              </w:rPr>
              <w:t>of the tender specifications</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08" w:type="dxa"/>
            <w:gridSpan w:val="2"/>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77777777" w:rsidR="00376A09" w:rsidRDefault="00376A09" w:rsidP="00583379">
            <w:pPr>
              <w:pStyle w:val="Text1"/>
              <w:numPr>
                <w:ilvl w:val="0"/>
                <w:numId w:val="24"/>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08" w:type="dxa"/>
            <w:gridSpan w:val="2"/>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77777777" w:rsidR="00376A09" w:rsidRDefault="00376A09" w:rsidP="00583379">
            <w:pPr>
              <w:pStyle w:val="Text1"/>
              <w:numPr>
                <w:ilvl w:val="0"/>
                <w:numId w:val="24"/>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of the tender specifications.</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08" w:type="dxa"/>
            <w:gridSpan w:val="2"/>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r w:rsidR="00376A09" w14:paraId="16F448DD" w14:textId="77777777" w:rsidTr="00376A09">
        <w:tc>
          <w:tcPr>
            <w:tcW w:w="7344" w:type="dxa"/>
            <w:shd w:val="clear" w:color="auto" w:fill="auto"/>
          </w:tcPr>
          <w:p w14:paraId="16F448D9" w14:textId="77777777" w:rsidR="00376A09" w:rsidRDefault="00376A09" w:rsidP="007D3A16">
            <w:pPr>
              <w:numPr>
                <w:ilvl w:val="0"/>
                <w:numId w:val="2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85EEB">
              <w:rPr>
                <w:noProof/>
              </w:rPr>
            </w:r>
            <w:r w:rsidR="00985EEB">
              <w:rPr>
                <w:noProof/>
              </w:rPr>
              <w:fldChar w:fldCharType="separate"/>
            </w:r>
            <w:r>
              <w:rPr>
                <w:noProof/>
              </w:rPr>
              <w:fldChar w:fldCharType="end"/>
            </w:r>
          </w:p>
        </w:tc>
      </w:tr>
    </w:tbl>
    <w:p w14:paraId="16F448E3" w14:textId="77F6D697" w:rsidR="00154CF6" w:rsidRPr="00BC61E2" w:rsidRDefault="00DA286B" w:rsidP="00154CF6">
      <w:pPr>
        <w:pStyle w:val="Title"/>
        <w:rPr>
          <w:i/>
        </w:rPr>
      </w:pPr>
      <w:r>
        <w:rPr>
          <w:noProof/>
        </w:rPr>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r>
        <w:t xml:space="preserve">must have been </w:t>
      </w:r>
      <w:r>
        <w:lastRenderedPageBreak/>
        <w:t xml:space="preserve">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48F4" w14:textId="77777777" w:rsidR="006E7570" w:rsidRDefault="006E7570">
      <w:r>
        <w:separator/>
      </w:r>
    </w:p>
  </w:endnote>
  <w:endnote w:type="continuationSeparator" w:id="0">
    <w:p w14:paraId="16F448F5" w14:textId="77777777" w:rsidR="006E7570" w:rsidRDefault="006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317728"/>
      <w:docPartObj>
        <w:docPartGallery w:val="Page Numbers (Bottom of Page)"/>
        <w:docPartUnique/>
      </w:docPartObj>
    </w:sdtPr>
    <w:sdtEndPr>
      <w:rPr>
        <w:noProof/>
      </w:rPr>
    </w:sdtEndPr>
    <w:sdtContent>
      <w:p w14:paraId="6213EDCD" w14:textId="02172D26" w:rsidR="006E7570" w:rsidRDefault="006E7570">
        <w:pPr>
          <w:pStyle w:val="Footer"/>
          <w:jc w:val="center"/>
        </w:pPr>
        <w:r>
          <w:fldChar w:fldCharType="begin"/>
        </w:r>
        <w:r>
          <w:instrText xml:space="preserve"> PAGE   \* MERGEFORMAT </w:instrText>
        </w:r>
        <w:r>
          <w:fldChar w:fldCharType="separate"/>
        </w:r>
        <w:r w:rsidR="000D41F1">
          <w:rPr>
            <w:noProof/>
          </w:rPr>
          <w:t>6</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48F2" w14:textId="77777777" w:rsidR="006E7570" w:rsidRDefault="006E7570">
      <w:r>
        <w:separator/>
      </w:r>
    </w:p>
  </w:footnote>
  <w:footnote w:type="continuationSeparator" w:id="0">
    <w:p w14:paraId="16F448F3" w14:textId="77777777" w:rsidR="006E7570" w:rsidRDefault="006E7570">
      <w:r>
        <w:continuationSeparator/>
      </w:r>
    </w:p>
  </w:footnote>
  <w:footnote w:id="1">
    <w:p w14:paraId="61539AC3" w14:textId="7B563B94"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rsidR="00B67FAA">
        <w:t>school</w:t>
      </w:r>
      <w:r w:rsidRPr="00EA6BA4">
        <w:t xml:space="preserve">. </w:t>
      </w:r>
    </w:p>
  </w:footnote>
  <w:footnote w:id="2">
    <w:p w14:paraId="79038C83" w14:textId="724AD5AA" w:rsidR="006E7570" w:rsidRPr="00EA6BA4" w:rsidRDefault="006E7570">
      <w:pPr>
        <w:pStyle w:val="FootnoteText"/>
      </w:pPr>
      <w:r>
        <w:rPr>
          <w:rStyle w:val="FootnoteReference"/>
        </w:rPr>
        <w:footnoteRef/>
      </w:r>
      <w:r>
        <w:t xml:space="preserve"> </w:t>
      </w:r>
      <w:r w:rsidR="00B67FAA" w:rsidRPr="00EA6BA4">
        <w:t xml:space="preserve">The </w:t>
      </w:r>
      <w:r w:rsidR="00B67FAA" w:rsidRPr="00F4376C">
        <w:t xml:space="preserve">same </w:t>
      </w:r>
      <w:r w:rsidR="00B67FAA">
        <w:t>school</w:t>
      </w:r>
      <w:r w:rsidRPr="00EA6BA4">
        <w:t xml:space="preserve">. </w:t>
      </w:r>
    </w:p>
  </w:footnote>
  <w:footnote w:id="3">
    <w:p w14:paraId="7F196C0F" w14:textId="129FFE16" w:rsidR="006E7570" w:rsidRPr="00EA6BA4" w:rsidRDefault="006E7570">
      <w:pPr>
        <w:pStyle w:val="FootnoteText"/>
      </w:pPr>
      <w:r>
        <w:rPr>
          <w:rStyle w:val="FootnoteReference"/>
        </w:rPr>
        <w:footnoteRef/>
      </w:r>
      <w:r>
        <w:t xml:space="preserve"> </w:t>
      </w:r>
      <w:r w:rsidR="00B67FAA" w:rsidRPr="00EA6BA4">
        <w:t xml:space="preserve">The </w:t>
      </w:r>
      <w:r w:rsidR="00B67FAA" w:rsidRPr="00F4376C">
        <w:t xml:space="preserve">same </w:t>
      </w:r>
      <w:r w:rsidR="00B67FAA">
        <w:t>school</w:t>
      </w:r>
      <w:r w:rsidRPr="00EA6B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48F6" w14:textId="482445BF" w:rsidR="006E7570" w:rsidRPr="00847DF3" w:rsidRDefault="00847DF3" w:rsidP="004A3BDB">
    <w:pPr>
      <w:pStyle w:val="Header"/>
      <w:jc w:val="right"/>
      <w:rPr>
        <w:rFonts w:asciiTheme="minorHAnsi" w:hAnsiTheme="minorHAnsi" w:cstheme="minorHAnsi"/>
        <w:b/>
        <w:sz w:val="20"/>
        <w:lang w:val="fr-BE"/>
      </w:rPr>
    </w:pPr>
    <w:r w:rsidRPr="00847DF3">
      <w:rPr>
        <w:rFonts w:asciiTheme="minorHAnsi" w:hAnsiTheme="minorHAnsi" w:cstheme="minorHAnsi"/>
        <w:b/>
        <w:sz w:val="20"/>
        <w:lang w:val="fr-BE"/>
      </w:rPr>
      <w:t xml:space="preserve">Annex 2 – </w:t>
    </w:r>
    <w:proofErr w:type="spellStart"/>
    <w:r w:rsidRPr="00847DF3">
      <w:rPr>
        <w:rFonts w:asciiTheme="minorHAnsi" w:hAnsiTheme="minorHAnsi" w:cstheme="minorHAnsi"/>
        <w:b/>
        <w:sz w:val="20"/>
        <w:lang w:val="fr-BE"/>
      </w:rPr>
      <w:t>Declaration</w:t>
    </w:r>
    <w:proofErr w:type="spellEnd"/>
    <w:r w:rsidRPr="00847DF3">
      <w:rPr>
        <w:rFonts w:asciiTheme="minorHAnsi" w:hAnsiTheme="minorHAnsi" w:cstheme="minorHAnsi"/>
        <w:b/>
        <w:sz w:val="20"/>
        <w:lang w:val="fr-BE"/>
      </w:rPr>
      <w:t xml:space="preserve"> </w:t>
    </w:r>
    <w:proofErr w:type="spellStart"/>
    <w:r w:rsidRPr="00847DF3">
      <w:rPr>
        <w:rFonts w:asciiTheme="minorHAnsi" w:hAnsiTheme="minorHAnsi" w:cstheme="minorHAnsi"/>
        <w:b/>
        <w:sz w:val="20"/>
        <w:lang w:val="fr-BE"/>
      </w:rPr>
      <w:t>honour</w:t>
    </w:r>
    <w:proofErr w:type="spellEnd"/>
    <w:r w:rsidRPr="00847DF3">
      <w:rPr>
        <w:rFonts w:asciiTheme="minorHAnsi" w:hAnsiTheme="minorHAnsi" w:cstheme="minorHAnsi"/>
        <w:b/>
        <w:sz w:val="20"/>
        <w:lang w:val="fr-BE"/>
      </w:rPr>
      <w:t xml:space="preserve"> – Tender n° 2021/</w:t>
    </w:r>
    <w:r w:rsidR="00B52A5D">
      <w:rPr>
        <w:rFonts w:asciiTheme="minorHAnsi" w:hAnsiTheme="minorHAnsi" w:cstheme="minorHAnsi"/>
        <w:b/>
        <w:sz w:val="20"/>
        <w:lang w:val="fr-BE"/>
      </w:rPr>
      <w:t>04</w:t>
    </w:r>
    <w:r w:rsidR="00985EEB">
      <w:rPr>
        <w:rFonts w:asciiTheme="minorHAnsi" w:hAnsiTheme="minorHAnsi" w:cstheme="minorHAnsi"/>
        <w:b/>
        <w:sz w:val="20"/>
        <w:lang w:val="fr-BE"/>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134F6"/>
    <w:rsid w:val="0003236B"/>
    <w:rsid w:val="00040490"/>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47DF3"/>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85EEB"/>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52A5D"/>
    <w:rsid w:val="00B67FAA"/>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C5DE19D63DB4486827F12C4E50704" ma:contentTypeVersion="5" ma:contentTypeDescription="Create a new document." ma:contentTypeScope="" ma:versionID="b0d10511772b220a45bd72ab77db8fc4">
  <xsd:schema xmlns:xsd="http://www.w3.org/2001/XMLSchema" xmlns:xs="http://www.w3.org/2001/XMLSchema" xmlns:p="http://schemas.microsoft.com/office/2006/metadata/properties" xmlns:ns2="27f6a375-fa37-4a6a-acb8-0e2a4d38a9e3" targetNamespace="http://schemas.microsoft.com/office/2006/metadata/properties" ma:root="true" ma:fieldsID="bde0bddfdf6258320d2bc36f5c83e5e9" ns2:_="">
    <xsd:import namespace="27f6a375-fa37-4a6a-acb8-0e2a4d38a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a375-fa37-4a6a-acb8-0e2a4d38a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E38368C6-B998-4A75-8657-14BB500C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a375-fa37-4a6a-acb8-0e2a4d38a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27f6a375-fa37-4a6a-acb8-0e2a4d38a9e3"/>
  </ds:schemaRefs>
</ds:datastoreItem>
</file>

<file path=customXml/itemProps5.xml><?xml version="1.0" encoding="utf-8"?>
<ds:datastoreItem xmlns:ds="http://schemas.openxmlformats.org/officeDocument/2006/customXml" ds:itemID="{3D683F23-B47A-46E0-8FFF-B33D9B6C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2211</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MOL DEPUTY DIRECTOR FINANCE AND ADMINISTRATION</cp:lastModifiedBy>
  <cp:revision>6</cp:revision>
  <cp:lastPrinted>2018-07-23T14:42:00Z</cp:lastPrinted>
  <dcterms:created xsi:type="dcterms:W3CDTF">2020-07-06T12:12:00Z</dcterms:created>
  <dcterms:modified xsi:type="dcterms:W3CDTF">2021-04-28T13:53:00Z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0x010100954C5DE19D63DB4486827F12C4E50704</vt:lpwstr>
  </property>
</Properties>
</file>